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9F" w:rsidRPr="00EF6B8E" w:rsidRDefault="00C17216" w:rsidP="00EA4E9F">
      <w:pPr>
        <w:jc w:val="center"/>
      </w:pPr>
      <w:r w:rsidRPr="00EF6B8E">
        <w:object w:dxaOrig="10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o:ole="">
            <v:imagedata r:id="rId8" o:title="" cropbottom="13198f"/>
          </v:shape>
          <o:OLEObject Type="Embed" ProgID="AcroExch.Document.11" ShapeID="_x0000_i1025" DrawAspect="Content" ObjectID="_1572862836" r:id="rId9"/>
        </w:object>
      </w:r>
    </w:p>
    <w:p w:rsidR="00EA4E9F" w:rsidRPr="00EF6B8E" w:rsidRDefault="00EA4E9F" w:rsidP="00EA4E9F">
      <w:pPr>
        <w:jc w:val="center"/>
        <w:rPr>
          <w:rFonts w:ascii="Franklin Gothic Medium" w:hAnsi="Franklin Gothic Medium"/>
          <w:color w:val="333333"/>
          <w:sz w:val="28"/>
          <w:szCs w:val="28"/>
        </w:rPr>
      </w:pPr>
      <w:r w:rsidRPr="00EF6B8E">
        <w:rPr>
          <w:rFonts w:ascii="Franklin Gothic Medium" w:hAnsi="Franklin Gothic Medium" w:cs="Arial"/>
          <w:color w:val="333333"/>
        </w:rPr>
        <w:t xml:space="preserve"> </w:t>
      </w:r>
      <w:r w:rsidRPr="00EF6B8E">
        <w:rPr>
          <w:rFonts w:ascii="Franklin Gothic Medium" w:hAnsi="Franklin Gothic Medium"/>
          <w:color w:val="333333"/>
          <w:sz w:val="28"/>
          <w:szCs w:val="28"/>
        </w:rPr>
        <w:t>Kokneses novada dome</w:t>
      </w:r>
    </w:p>
    <w:p w:rsidR="00EA4E9F" w:rsidRPr="00EF6B8E" w:rsidRDefault="00EA4E9F" w:rsidP="00EA4E9F">
      <w:pPr>
        <w:pBdr>
          <w:bottom w:val="single" w:sz="12" w:space="1" w:color="auto"/>
        </w:pBdr>
        <w:jc w:val="center"/>
        <w:rPr>
          <w:rFonts w:ascii="Franklin Gothic Medium" w:hAnsi="Franklin Gothic Medium"/>
          <w:b/>
          <w:color w:val="333333"/>
          <w:sz w:val="28"/>
          <w:szCs w:val="28"/>
        </w:rPr>
      </w:pPr>
      <w:r w:rsidRPr="00EF6B8E">
        <w:rPr>
          <w:rFonts w:ascii="Franklin Gothic Medium" w:hAnsi="Franklin Gothic Medium"/>
          <w:b/>
          <w:color w:val="333333"/>
          <w:sz w:val="28"/>
          <w:szCs w:val="28"/>
        </w:rPr>
        <w:t>CENTRALIZĒTO IEPIRKUMU KOMISIJA</w:t>
      </w:r>
    </w:p>
    <w:p w:rsidR="00EA4E9F" w:rsidRPr="00EF6B8E" w:rsidRDefault="00EA4E9F" w:rsidP="00EA4E9F">
      <w:pPr>
        <w:jc w:val="center"/>
        <w:rPr>
          <w:rFonts w:ascii="Book Antiqua" w:hAnsi="Book Antiqua"/>
          <w:i/>
          <w:sz w:val="20"/>
          <w:szCs w:val="20"/>
        </w:rPr>
      </w:pPr>
      <w:r w:rsidRPr="00EF6B8E">
        <w:rPr>
          <w:rFonts w:ascii="Book Antiqua" w:hAnsi="Book Antiqua"/>
          <w:i/>
          <w:sz w:val="20"/>
          <w:szCs w:val="20"/>
        </w:rPr>
        <w:t>Melioratoru iela 1, Kokneses pagasts, Kokneses novads, LV-5113, tālr. 6 5133638, fakss 6 5133631</w:t>
      </w:r>
    </w:p>
    <w:p w:rsidR="00EA4E9F" w:rsidRPr="00EF6B8E" w:rsidRDefault="00EA4E9F" w:rsidP="00EA4E9F">
      <w:pPr>
        <w:jc w:val="center"/>
        <w:rPr>
          <w:rFonts w:ascii="Book Antiqua" w:hAnsi="Book Antiqua"/>
          <w:i/>
          <w:sz w:val="20"/>
          <w:szCs w:val="20"/>
        </w:rPr>
      </w:pPr>
      <w:r w:rsidRPr="00EF6B8E">
        <w:rPr>
          <w:rFonts w:ascii="Book Antiqua" w:hAnsi="Book Antiqua"/>
          <w:i/>
          <w:sz w:val="20"/>
          <w:szCs w:val="20"/>
        </w:rPr>
        <w:t>e-pasts- dace.svetina@koknese.lv</w:t>
      </w:r>
    </w:p>
    <w:p w:rsidR="00EA4E9F" w:rsidRPr="00EF6B8E" w:rsidRDefault="00EA4E9F" w:rsidP="00EA4E9F">
      <w:pPr>
        <w:jc w:val="center"/>
        <w:rPr>
          <w:b/>
          <w:sz w:val="16"/>
          <w:szCs w:val="16"/>
        </w:rPr>
      </w:pPr>
    </w:p>
    <w:p w:rsidR="00EA4E9F" w:rsidRPr="00EF6B8E" w:rsidRDefault="00EA4E9F" w:rsidP="00EA4E9F">
      <w:pPr>
        <w:jc w:val="center"/>
      </w:pPr>
      <w:r w:rsidRPr="00EF6B8E">
        <w:t>Atklāts konkurss</w:t>
      </w:r>
    </w:p>
    <w:p w:rsidR="00C17216" w:rsidRPr="00EF6B8E" w:rsidRDefault="00C17216" w:rsidP="00C17216">
      <w:pPr>
        <w:jc w:val="center"/>
        <w:rPr>
          <w:b/>
        </w:rPr>
      </w:pPr>
      <w:r w:rsidRPr="00EF6B8E">
        <w:rPr>
          <w:b/>
        </w:rPr>
        <w:t xml:space="preserve">„ Pārtikas produktu piegāde </w:t>
      </w:r>
    </w:p>
    <w:p w:rsidR="00C17216" w:rsidRPr="00EF6B8E" w:rsidRDefault="00C17216" w:rsidP="00C17216">
      <w:pPr>
        <w:jc w:val="center"/>
      </w:pPr>
      <w:r w:rsidRPr="00EF6B8E">
        <w:rPr>
          <w:b/>
        </w:rPr>
        <w:t>Kokneses novada pašvaldības izglītības iestāžu vajadzībām 2018.gadā”</w:t>
      </w:r>
      <w:r w:rsidRPr="00EF6B8E">
        <w:t xml:space="preserve"> </w:t>
      </w:r>
    </w:p>
    <w:p w:rsidR="00C17216" w:rsidRPr="00EF6B8E" w:rsidRDefault="00C17216" w:rsidP="00C17216">
      <w:pPr>
        <w:jc w:val="center"/>
        <w:rPr>
          <w:b/>
          <w:i/>
          <w:sz w:val="16"/>
          <w:szCs w:val="16"/>
        </w:rPr>
      </w:pPr>
      <w:r w:rsidRPr="00EF6B8E">
        <w:rPr>
          <w:b/>
        </w:rPr>
        <w:t>Identifikācijas Nr. KND-2017/17</w:t>
      </w:r>
    </w:p>
    <w:p w:rsidR="00EA4E9F" w:rsidRPr="00EF6B8E" w:rsidRDefault="00EA4E9F" w:rsidP="00EA4E9F">
      <w:pPr>
        <w:jc w:val="center"/>
        <w:rPr>
          <w:b/>
          <w:i/>
          <w:sz w:val="16"/>
          <w:szCs w:val="16"/>
        </w:rPr>
      </w:pPr>
    </w:p>
    <w:p w:rsidR="00EA4E9F" w:rsidRPr="00EF6B8E" w:rsidRDefault="00EA4E9F" w:rsidP="00EA4E9F">
      <w:pPr>
        <w:jc w:val="center"/>
        <w:rPr>
          <w:sz w:val="28"/>
          <w:szCs w:val="28"/>
        </w:rPr>
      </w:pPr>
      <w:r w:rsidRPr="00EF6B8E">
        <w:rPr>
          <w:sz w:val="28"/>
          <w:szCs w:val="28"/>
        </w:rPr>
        <w:t xml:space="preserve">PROTOKOLS </w:t>
      </w:r>
    </w:p>
    <w:p w:rsidR="00EA4E9F" w:rsidRPr="00EF6B8E" w:rsidRDefault="00EA4E9F" w:rsidP="00EA4E9F">
      <w:pPr>
        <w:jc w:val="center"/>
        <w:rPr>
          <w:i/>
        </w:rPr>
      </w:pPr>
      <w:r w:rsidRPr="00EF6B8E">
        <w:rPr>
          <w:i/>
        </w:rPr>
        <w:t>Kokneses novada Kokneses pagastā</w:t>
      </w:r>
    </w:p>
    <w:p w:rsidR="00EA4E9F" w:rsidRPr="00EF6B8E" w:rsidRDefault="00EA4E9F" w:rsidP="00EA4E9F">
      <w:pPr>
        <w:jc w:val="center"/>
        <w:rPr>
          <w:i/>
          <w:sz w:val="16"/>
          <w:szCs w:val="16"/>
        </w:rPr>
      </w:pPr>
    </w:p>
    <w:p w:rsidR="00EA4E9F" w:rsidRPr="00EF6B8E" w:rsidRDefault="00E72070" w:rsidP="00EA4E9F">
      <w:r>
        <w:t>2017.gada 21</w:t>
      </w:r>
      <w:r w:rsidR="00EA4E9F" w:rsidRPr="00EF6B8E">
        <w:t>.</w:t>
      </w:r>
      <w:r w:rsidR="00EF6B8E" w:rsidRPr="00EF6B8E">
        <w:t>novembrī</w:t>
      </w:r>
      <w:r w:rsidR="00EA4E9F" w:rsidRPr="00EF6B8E">
        <w:t xml:space="preserve">       </w:t>
      </w:r>
      <w:r w:rsidR="00EA4E9F" w:rsidRPr="00EF6B8E">
        <w:tab/>
      </w:r>
      <w:r w:rsidR="00EA4E9F" w:rsidRPr="00EF6B8E">
        <w:tab/>
      </w:r>
      <w:r w:rsidR="00EA4E9F" w:rsidRPr="00EF6B8E">
        <w:tab/>
      </w:r>
      <w:r w:rsidR="00EA4E9F" w:rsidRPr="00EF6B8E">
        <w:tab/>
      </w:r>
      <w:r w:rsidR="00EA4E9F" w:rsidRPr="00EF6B8E">
        <w:tab/>
        <w:t xml:space="preserve">            </w:t>
      </w:r>
      <w:r>
        <w:t xml:space="preserve">               Nr. KND-2017/17-3</w:t>
      </w:r>
    </w:p>
    <w:p w:rsidR="00EA4E9F" w:rsidRPr="00EF6B8E" w:rsidRDefault="00EA4E9F" w:rsidP="00EA4E9F">
      <w:pPr>
        <w:rPr>
          <w:sz w:val="16"/>
          <w:szCs w:val="16"/>
        </w:rPr>
      </w:pPr>
    </w:p>
    <w:p w:rsidR="00EA4E9F" w:rsidRPr="00EF6B8E" w:rsidRDefault="00EA4E9F" w:rsidP="00EA4E9F">
      <w:r w:rsidRPr="00EF6B8E">
        <w:t xml:space="preserve">Sēdi atklāj plkst. </w:t>
      </w:r>
      <w:r w:rsidR="00E72070" w:rsidRPr="00687F77">
        <w:t>10</w:t>
      </w:r>
      <w:r w:rsidRPr="00687F77">
        <w:t>.00</w:t>
      </w:r>
    </w:p>
    <w:p w:rsidR="00EA4E9F" w:rsidRPr="00EF6B8E" w:rsidRDefault="00EA4E9F" w:rsidP="00EA4E9F">
      <w:pPr>
        <w:rPr>
          <w:sz w:val="16"/>
          <w:szCs w:val="16"/>
        </w:rPr>
      </w:pPr>
    </w:p>
    <w:p w:rsidR="00EA4E9F" w:rsidRPr="00EF6B8E" w:rsidRDefault="00EA4E9F" w:rsidP="00EA4E9F">
      <w:pPr>
        <w:jc w:val="both"/>
      </w:pPr>
      <w:r w:rsidRPr="00EF6B8E">
        <w:rPr>
          <w:b/>
        </w:rPr>
        <w:t>SĒDĒ PIEDALĀS:</w:t>
      </w:r>
      <w:r w:rsidRPr="00EF6B8E">
        <w:t xml:space="preserve"> komisijas priekšsēdētāja Dace Svētiņa,</w:t>
      </w:r>
    </w:p>
    <w:p w:rsidR="00EA4E9F" w:rsidRPr="00EF6B8E" w:rsidRDefault="00EA4E9F" w:rsidP="00EA4E9F">
      <w:pPr>
        <w:jc w:val="both"/>
      </w:pPr>
      <w:r w:rsidRPr="00EF6B8E">
        <w:t>komisijas locekļi - Anita Ozola, Dace Kļaviņa, Gunita Majore, Ilze Pabērza, Andrejs Pastars.</w:t>
      </w:r>
    </w:p>
    <w:p w:rsidR="00EA4E9F" w:rsidRPr="00EF6B8E" w:rsidRDefault="00EA4E9F" w:rsidP="00EA4E9F">
      <w:pPr>
        <w:rPr>
          <w:b/>
          <w:sz w:val="16"/>
          <w:szCs w:val="16"/>
        </w:rPr>
      </w:pPr>
    </w:p>
    <w:p w:rsidR="00EA4E9F" w:rsidRPr="00EF6B8E" w:rsidRDefault="00EA4E9F" w:rsidP="00EA4E9F">
      <w:pPr>
        <w:jc w:val="both"/>
      </w:pPr>
      <w:r w:rsidRPr="00EF6B8E">
        <w:rPr>
          <w:b/>
        </w:rPr>
        <w:t xml:space="preserve">SĒDI VADA - </w:t>
      </w:r>
      <w:r w:rsidRPr="00EF6B8E">
        <w:t>komisijas priekšsēdētāja Dace Svētiņa.</w:t>
      </w:r>
    </w:p>
    <w:p w:rsidR="00EA4E9F" w:rsidRPr="00EF6B8E" w:rsidRDefault="00EA4E9F" w:rsidP="00EA4E9F">
      <w:pPr>
        <w:jc w:val="both"/>
      </w:pPr>
      <w:r w:rsidRPr="00EF6B8E">
        <w:rPr>
          <w:b/>
        </w:rPr>
        <w:t xml:space="preserve">SĒDI PROTOKOLĒ - </w:t>
      </w:r>
      <w:r w:rsidRPr="00EF6B8E">
        <w:t xml:space="preserve"> komisijas locekle, sekretāre Gunita Majore.</w:t>
      </w:r>
    </w:p>
    <w:p w:rsidR="00EA4E9F" w:rsidRPr="00EF6B8E" w:rsidRDefault="00EA4E9F" w:rsidP="00EA4E9F">
      <w:pPr>
        <w:rPr>
          <w:sz w:val="16"/>
          <w:szCs w:val="16"/>
        </w:rPr>
      </w:pPr>
    </w:p>
    <w:p w:rsidR="00EA4E9F" w:rsidRPr="00EF6B8E" w:rsidRDefault="00EA4E9F" w:rsidP="00EA4E9F">
      <w:pPr>
        <w:ind w:right="1"/>
        <w:jc w:val="both"/>
        <w:rPr>
          <w:sz w:val="20"/>
          <w:szCs w:val="20"/>
        </w:rPr>
      </w:pPr>
      <w:r w:rsidRPr="00EF6B8E">
        <w:rPr>
          <w:sz w:val="20"/>
          <w:szCs w:val="20"/>
        </w:rPr>
        <w:t xml:space="preserve">Pamatojoties uz likuma „Par pašvaldībām” 61.pantu atsevišķu pašvaldības funkciju pildīšanai ar Kokneses novada domes 28.08.2013. lēmumu Nr.6.1., (protokols Nr.10) izveidota Centralizēto iepirkumu komisija, kuras sastāvā veikti grozījumi: ar 27.11.2013. lēmumu Nr.6.4. (protokols Nr.16); ar 26.02.2014. lēmumu Nr.7.3. (protokols Nr.3); ar 29.04.2015. lēmumu Nr.7.14. (protokols Nr.6); ar 26.06.2015. lēmumu Nr.6.2. (protokols Nr.8); ar 27.01.2016. lēmumu Nr.9.7. (protokols Nr.1); ar 30.03.2016. lēmumu Nr.5.3. (protokols Nr.3); ar 28.09.2016. lēmumu Nr.7.7. </w:t>
      </w:r>
      <w:bookmarkStart w:id="0" w:name="_GoBack"/>
      <w:bookmarkEnd w:id="0"/>
      <w:r w:rsidRPr="00EF6B8E">
        <w:rPr>
          <w:sz w:val="20"/>
          <w:szCs w:val="20"/>
        </w:rPr>
        <w:t>(protokols Nr.9).</w:t>
      </w:r>
    </w:p>
    <w:p w:rsidR="00EA4E9F" w:rsidRPr="00EF6B8E" w:rsidRDefault="00EA4E9F" w:rsidP="00EA4E9F">
      <w:pPr>
        <w:ind w:right="1"/>
        <w:jc w:val="both"/>
        <w:rPr>
          <w:sz w:val="16"/>
          <w:szCs w:val="16"/>
        </w:rPr>
      </w:pPr>
    </w:p>
    <w:p w:rsidR="00EA4E9F" w:rsidRDefault="00EA4E9F" w:rsidP="00EA4E9F">
      <w:pPr>
        <w:rPr>
          <w:b/>
        </w:rPr>
      </w:pPr>
      <w:r w:rsidRPr="00EF6B8E">
        <w:rPr>
          <w:b/>
        </w:rPr>
        <w:t>DARBA KĀRTĪBA:</w:t>
      </w:r>
    </w:p>
    <w:p w:rsidR="00687F77" w:rsidRPr="00097BD6" w:rsidRDefault="00687F77" w:rsidP="00687F77">
      <w:pPr>
        <w:jc w:val="both"/>
      </w:pPr>
      <w:r w:rsidRPr="00097BD6">
        <w:t>1.</w:t>
      </w:r>
      <w:r>
        <w:t xml:space="preserve"> </w:t>
      </w:r>
      <w:r w:rsidRPr="00097BD6">
        <w:t>Pretendentu iesniegto piedāvājumu apzināšana</w:t>
      </w:r>
      <w:r>
        <w:t>.</w:t>
      </w:r>
    </w:p>
    <w:p w:rsidR="00687F77" w:rsidRPr="00097BD6" w:rsidRDefault="00687F77" w:rsidP="00687F77">
      <w:pPr>
        <w:jc w:val="both"/>
      </w:pPr>
      <w:r w:rsidRPr="00097BD6">
        <w:t>2. Pretendentu iesniegto piedāvājumu noformējuma pārbaude</w:t>
      </w:r>
      <w:r>
        <w:t>.</w:t>
      </w:r>
      <w:r w:rsidRPr="00097BD6">
        <w:t xml:space="preserve"> </w:t>
      </w:r>
    </w:p>
    <w:p w:rsidR="00687F77" w:rsidRPr="00AF75BA" w:rsidRDefault="00687F77" w:rsidP="00687F77">
      <w:pPr>
        <w:jc w:val="both"/>
        <w:rPr>
          <w:color w:val="000000" w:themeColor="text1"/>
        </w:rPr>
      </w:pPr>
      <w:r w:rsidRPr="00AF75BA">
        <w:rPr>
          <w:color w:val="000000" w:themeColor="text1"/>
        </w:rPr>
        <w:t xml:space="preserve">3. Pretendentu izvērtēšana atbilstoši atlases prasībām. </w:t>
      </w:r>
    </w:p>
    <w:p w:rsidR="00687F77" w:rsidRPr="00AF75BA" w:rsidRDefault="00687F77" w:rsidP="00687F77">
      <w:pPr>
        <w:jc w:val="both"/>
        <w:rPr>
          <w:color w:val="000000" w:themeColor="text1"/>
        </w:rPr>
      </w:pPr>
      <w:r w:rsidRPr="00AF75BA">
        <w:rPr>
          <w:color w:val="000000" w:themeColor="text1"/>
        </w:rPr>
        <w:t>4. Pretendentu iesniegto Tehnisko piedāvājumu izvērtēšana.</w:t>
      </w:r>
    </w:p>
    <w:p w:rsidR="00687F77" w:rsidRPr="00AF75BA" w:rsidRDefault="00687F77" w:rsidP="00687F77">
      <w:pPr>
        <w:jc w:val="both"/>
        <w:rPr>
          <w:color w:val="000000" w:themeColor="text1"/>
        </w:rPr>
      </w:pPr>
      <w:r w:rsidRPr="00AF75BA">
        <w:rPr>
          <w:color w:val="000000" w:themeColor="text1"/>
        </w:rPr>
        <w:t>5. Pretendentu iesniegto Finanšu piedāvājumu pārbaude.</w:t>
      </w:r>
    </w:p>
    <w:p w:rsidR="00687F77" w:rsidRPr="00AF75BA" w:rsidRDefault="00687F77" w:rsidP="00687F77">
      <w:pPr>
        <w:jc w:val="both"/>
        <w:rPr>
          <w:color w:val="000000" w:themeColor="text1"/>
        </w:rPr>
      </w:pPr>
      <w:r w:rsidRPr="00AF75BA">
        <w:rPr>
          <w:color w:val="000000" w:themeColor="text1"/>
        </w:rPr>
        <w:t>6. Nolikuma prasībām atbilstošo piedāvājumu saraksta izveidošana.</w:t>
      </w:r>
    </w:p>
    <w:p w:rsidR="00687F77" w:rsidRPr="00AF75BA" w:rsidRDefault="00687F77" w:rsidP="00687F77">
      <w:pPr>
        <w:jc w:val="both"/>
        <w:rPr>
          <w:color w:val="000000" w:themeColor="text1"/>
        </w:rPr>
      </w:pPr>
      <w:r w:rsidRPr="00AF75BA">
        <w:rPr>
          <w:color w:val="000000" w:themeColor="text1"/>
        </w:rPr>
        <w:t>7. Pretendentu</w:t>
      </w:r>
      <w:r w:rsidR="00941A99" w:rsidRPr="00AF75BA">
        <w:rPr>
          <w:color w:val="000000" w:themeColor="text1"/>
        </w:rPr>
        <w:t xml:space="preserve"> noteikšana</w:t>
      </w:r>
      <w:r w:rsidRPr="00AF75BA">
        <w:rPr>
          <w:color w:val="000000" w:themeColor="text1"/>
        </w:rPr>
        <w:t>, kuriem būtu piešķiramas līgu</w:t>
      </w:r>
      <w:r w:rsidR="00941A99" w:rsidRPr="00AF75BA">
        <w:rPr>
          <w:color w:val="000000" w:themeColor="text1"/>
        </w:rPr>
        <w:t>ma slēgšanas tiesības</w:t>
      </w:r>
      <w:r w:rsidRPr="00AF75BA">
        <w:rPr>
          <w:color w:val="000000" w:themeColor="text1"/>
        </w:rPr>
        <w:t>.</w:t>
      </w:r>
    </w:p>
    <w:p w:rsidR="00687F77" w:rsidRPr="00AF75BA" w:rsidRDefault="00687F77" w:rsidP="00687F77">
      <w:pPr>
        <w:jc w:val="both"/>
        <w:rPr>
          <w:color w:val="000000" w:themeColor="text1"/>
        </w:rPr>
      </w:pPr>
      <w:r w:rsidRPr="00AF75BA">
        <w:rPr>
          <w:color w:val="000000" w:themeColor="text1"/>
        </w:rPr>
        <w:t>8. Piedāvājumu izvērtēšana atbilstoši Publisko iepirkumu likuma 53.panta prasībām.</w:t>
      </w:r>
    </w:p>
    <w:p w:rsidR="00687F77" w:rsidRPr="00AF75BA" w:rsidRDefault="00687F77" w:rsidP="00687F77">
      <w:pPr>
        <w:jc w:val="both"/>
        <w:rPr>
          <w:color w:val="000000" w:themeColor="text1"/>
        </w:rPr>
      </w:pPr>
      <w:r w:rsidRPr="00AF75BA">
        <w:rPr>
          <w:color w:val="000000" w:themeColor="text1"/>
        </w:rPr>
        <w:t xml:space="preserve">9. Informācijas pārbaude no Sodu reģistra, Uzņēmumu reģistra un nodokļu nomaksas pārbaude.                </w:t>
      </w:r>
    </w:p>
    <w:p w:rsidR="00687F77" w:rsidRPr="00AF75BA" w:rsidRDefault="00687F77" w:rsidP="00687F77">
      <w:pPr>
        <w:jc w:val="both"/>
        <w:rPr>
          <w:color w:val="000000" w:themeColor="text1"/>
        </w:rPr>
      </w:pPr>
      <w:r w:rsidRPr="00AF75BA">
        <w:rPr>
          <w:color w:val="000000" w:themeColor="text1"/>
        </w:rPr>
        <w:t>10. Lēmuma pieņemšana par iepirkuma līgumu slēgšanu.</w:t>
      </w:r>
    </w:p>
    <w:p w:rsidR="00687F77" w:rsidRPr="00AF75BA" w:rsidRDefault="00687F77" w:rsidP="00687F77">
      <w:pPr>
        <w:jc w:val="both"/>
        <w:rPr>
          <w:b/>
          <w:color w:val="000000" w:themeColor="text1"/>
        </w:rPr>
      </w:pPr>
    </w:p>
    <w:p w:rsidR="005A14E9" w:rsidRPr="005A14E9" w:rsidRDefault="005A14E9" w:rsidP="005A14E9">
      <w:pPr>
        <w:ind w:left="360"/>
        <w:jc w:val="center"/>
        <w:rPr>
          <w:b/>
        </w:rPr>
      </w:pPr>
      <w:r>
        <w:rPr>
          <w:b/>
        </w:rPr>
        <w:t>1.</w:t>
      </w:r>
    </w:p>
    <w:p w:rsidR="00687F77" w:rsidRPr="00DC41FD" w:rsidRDefault="00687F77" w:rsidP="005A14E9">
      <w:pPr>
        <w:pStyle w:val="Sarakstarindkopa"/>
        <w:jc w:val="center"/>
        <w:rPr>
          <w:b/>
        </w:rPr>
      </w:pPr>
      <w:r w:rsidRPr="00DC41FD">
        <w:rPr>
          <w:b/>
        </w:rPr>
        <w:t>Pretendentu iesniegto piedāvājumu apzināšana</w:t>
      </w:r>
    </w:p>
    <w:p w:rsidR="00687F77" w:rsidRPr="00DC41FD" w:rsidRDefault="00687F77" w:rsidP="00687F77">
      <w:pPr>
        <w:jc w:val="center"/>
        <w:rPr>
          <w:b/>
        </w:rPr>
      </w:pPr>
    </w:p>
    <w:p w:rsidR="00687F77" w:rsidRPr="00EF6B8E" w:rsidRDefault="00687F77" w:rsidP="005A14E9">
      <w:pPr>
        <w:pStyle w:val="Sarakstarindkopa"/>
        <w:numPr>
          <w:ilvl w:val="1"/>
          <w:numId w:val="9"/>
        </w:numPr>
        <w:jc w:val="both"/>
        <w:rPr>
          <w:lang w:eastAsia="lv-LV"/>
        </w:rPr>
      </w:pPr>
      <w:r w:rsidRPr="00EF6B8E">
        <w:rPr>
          <w:lang w:eastAsia="lv-LV"/>
        </w:rPr>
        <w:t xml:space="preserve">Iepirkumu komisija </w:t>
      </w:r>
      <w:r>
        <w:rPr>
          <w:lang w:eastAsia="lv-LV"/>
        </w:rPr>
        <w:t xml:space="preserve">2017.gada 8.novembra sēdē </w:t>
      </w:r>
      <w:r w:rsidRPr="00EF6B8E">
        <w:rPr>
          <w:lang w:eastAsia="lv-LV"/>
        </w:rPr>
        <w:t>saņēma un atvēra sekojošus pretendentu piedāvājumus:</w:t>
      </w:r>
    </w:p>
    <w:tbl>
      <w:tblPr>
        <w:tblpPr w:leftFromText="180" w:rightFromText="180" w:vertAnchor="text" w:tblpY="1"/>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99"/>
        <w:gridCol w:w="5605"/>
        <w:gridCol w:w="2044"/>
      </w:tblGrid>
      <w:tr w:rsidR="00687F77" w:rsidRPr="00EF6B8E" w:rsidTr="00F00313">
        <w:trPr>
          <w:trHeight w:val="842"/>
          <w:tblHeader/>
        </w:trPr>
        <w:tc>
          <w:tcPr>
            <w:tcW w:w="797" w:type="dxa"/>
            <w:shd w:val="clear" w:color="auto" w:fill="auto"/>
            <w:vAlign w:val="center"/>
          </w:tcPr>
          <w:p w:rsidR="00687F77" w:rsidRPr="00EF6B8E" w:rsidRDefault="00687F77" w:rsidP="00F00313">
            <w:pPr>
              <w:jc w:val="center"/>
            </w:pPr>
            <w:r w:rsidRPr="00EF6B8E">
              <w:t>Nr. p.k.</w:t>
            </w:r>
          </w:p>
        </w:tc>
        <w:tc>
          <w:tcPr>
            <w:tcW w:w="899" w:type="dxa"/>
            <w:vAlign w:val="center"/>
          </w:tcPr>
          <w:p w:rsidR="00687F77" w:rsidRPr="00EF6B8E" w:rsidRDefault="00687F77" w:rsidP="00F00313">
            <w:pPr>
              <w:jc w:val="center"/>
            </w:pPr>
            <w:r w:rsidRPr="00EF6B8E">
              <w:t>Daļas</w:t>
            </w:r>
          </w:p>
          <w:p w:rsidR="00687F77" w:rsidRPr="00EF6B8E" w:rsidRDefault="00687F77" w:rsidP="00F00313">
            <w:pPr>
              <w:jc w:val="center"/>
            </w:pPr>
            <w:r w:rsidRPr="00EF6B8E">
              <w:t>Nr.</w:t>
            </w:r>
          </w:p>
        </w:tc>
        <w:tc>
          <w:tcPr>
            <w:tcW w:w="5605" w:type="dxa"/>
            <w:shd w:val="clear" w:color="auto" w:fill="auto"/>
            <w:vAlign w:val="center"/>
          </w:tcPr>
          <w:p w:rsidR="00687F77" w:rsidRPr="00EF6B8E" w:rsidRDefault="00687F77" w:rsidP="00F00313">
            <w:pPr>
              <w:jc w:val="center"/>
            </w:pPr>
            <w:r w:rsidRPr="00EF6B8E">
              <w:t>Pretendents</w:t>
            </w:r>
          </w:p>
        </w:tc>
        <w:tc>
          <w:tcPr>
            <w:tcW w:w="2044" w:type="dxa"/>
            <w:shd w:val="clear" w:color="auto" w:fill="auto"/>
            <w:vAlign w:val="center"/>
          </w:tcPr>
          <w:p w:rsidR="00687F77" w:rsidRPr="00EF6B8E" w:rsidRDefault="00687F77" w:rsidP="00F00313">
            <w:pPr>
              <w:jc w:val="center"/>
            </w:pPr>
            <w:r w:rsidRPr="00EF6B8E">
              <w:t>Piedāvājuma summa EUR bez PVN</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1.</w:t>
            </w:r>
          </w:p>
        </w:tc>
        <w:tc>
          <w:tcPr>
            <w:tcW w:w="5605" w:type="dxa"/>
            <w:shd w:val="clear" w:color="auto" w:fill="auto"/>
          </w:tcPr>
          <w:p w:rsidR="00687F77" w:rsidRPr="00EF6B8E" w:rsidRDefault="00687F77" w:rsidP="00F00313">
            <w:r>
              <w:t>SIA “Sanitex”</w:t>
            </w:r>
          </w:p>
        </w:tc>
        <w:tc>
          <w:tcPr>
            <w:tcW w:w="2044" w:type="dxa"/>
            <w:shd w:val="clear" w:color="auto" w:fill="auto"/>
          </w:tcPr>
          <w:p w:rsidR="00687F77" w:rsidRPr="00EF6B8E" w:rsidRDefault="00687F77" w:rsidP="00F00313">
            <w:pPr>
              <w:jc w:val="center"/>
            </w:pPr>
            <w:r>
              <w:t>38 486,00</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2.</w:t>
            </w:r>
          </w:p>
        </w:tc>
        <w:tc>
          <w:tcPr>
            <w:tcW w:w="5605" w:type="dxa"/>
            <w:shd w:val="clear" w:color="auto" w:fill="auto"/>
          </w:tcPr>
          <w:p w:rsidR="00687F77" w:rsidRPr="00EF6B8E" w:rsidRDefault="00687F77" w:rsidP="00F00313">
            <w:r>
              <w:t>SIA “Sanitex”</w:t>
            </w:r>
          </w:p>
        </w:tc>
        <w:tc>
          <w:tcPr>
            <w:tcW w:w="2044" w:type="dxa"/>
            <w:shd w:val="clear" w:color="auto" w:fill="auto"/>
          </w:tcPr>
          <w:p w:rsidR="00687F77" w:rsidRPr="00EF6B8E" w:rsidRDefault="00687F77" w:rsidP="00F00313">
            <w:pPr>
              <w:jc w:val="center"/>
            </w:pPr>
            <w:r>
              <w:t>25 407,50</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3.</w:t>
            </w:r>
          </w:p>
        </w:tc>
        <w:tc>
          <w:tcPr>
            <w:tcW w:w="5605" w:type="dxa"/>
            <w:shd w:val="clear" w:color="auto" w:fill="auto"/>
          </w:tcPr>
          <w:p w:rsidR="00687F77" w:rsidRPr="00EF6B8E" w:rsidRDefault="00687F77" w:rsidP="00F00313">
            <w:r>
              <w:t>SIA “Sanitex”</w:t>
            </w:r>
          </w:p>
        </w:tc>
        <w:tc>
          <w:tcPr>
            <w:tcW w:w="2044" w:type="dxa"/>
            <w:shd w:val="clear" w:color="auto" w:fill="auto"/>
          </w:tcPr>
          <w:p w:rsidR="00687F77" w:rsidRPr="00EF6B8E" w:rsidRDefault="00687F77" w:rsidP="00F00313">
            <w:pPr>
              <w:jc w:val="center"/>
            </w:pPr>
            <w:r>
              <w:t>26 583,95</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5.</w:t>
            </w:r>
          </w:p>
        </w:tc>
        <w:tc>
          <w:tcPr>
            <w:tcW w:w="5605" w:type="dxa"/>
            <w:shd w:val="clear" w:color="auto" w:fill="auto"/>
          </w:tcPr>
          <w:p w:rsidR="00687F77" w:rsidRPr="00EF6B8E" w:rsidRDefault="00687F77" w:rsidP="00F00313">
            <w:r>
              <w:t>SIA “Sanitex”</w:t>
            </w:r>
          </w:p>
        </w:tc>
        <w:tc>
          <w:tcPr>
            <w:tcW w:w="2044" w:type="dxa"/>
            <w:shd w:val="clear" w:color="auto" w:fill="auto"/>
          </w:tcPr>
          <w:p w:rsidR="00687F77" w:rsidRPr="00EF6B8E" w:rsidRDefault="00687F77" w:rsidP="00F00313">
            <w:pPr>
              <w:jc w:val="center"/>
            </w:pPr>
            <w:r>
              <w:t>17 155,00</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6.</w:t>
            </w:r>
          </w:p>
        </w:tc>
        <w:tc>
          <w:tcPr>
            <w:tcW w:w="5605" w:type="dxa"/>
            <w:shd w:val="clear" w:color="auto" w:fill="auto"/>
          </w:tcPr>
          <w:p w:rsidR="00687F77" w:rsidRPr="00EF6B8E" w:rsidRDefault="00687F77" w:rsidP="00F00313">
            <w:r>
              <w:t>SIA “Sanitex”</w:t>
            </w:r>
          </w:p>
        </w:tc>
        <w:tc>
          <w:tcPr>
            <w:tcW w:w="2044" w:type="dxa"/>
            <w:shd w:val="clear" w:color="auto" w:fill="auto"/>
          </w:tcPr>
          <w:p w:rsidR="00687F77" w:rsidRPr="00EF6B8E" w:rsidRDefault="00687F77" w:rsidP="00F00313">
            <w:pPr>
              <w:jc w:val="center"/>
            </w:pPr>
            <w:r>
              <w:t>10 509,00</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6.</w:t>
            </w:r>
          </w:p>
        </w:tc>
        <w:tc>
          <w:tcPr>
            <w:tcW w:w="5605" w:type="dxa"/>
            <w:shd w:val="clear" w:color="auto" w:fill="auto"/>
          </w:tcPr>
          <w:p w:rsidR="00687F77" w:rsidRPr="00EF6B8E" w:rsidRDefault="00687F77" w:rsidP="00F00313">
            <w:r>
              <w:t>SIA “Kabuleti Fruit”</w:t>
            </w:r>
          </w:p>
        </w:tc>
        <w:tc>
          <w:tcPr>
            <w:tcW w:w="2044" w:type="dxa"/>
            <w:shd w:val="clear" w:color="auto" w:fill="auto"/>
          </w:tcPr>
          <w:p w:rsidR="00687F77" w:rsidRPr="00EF6B8E" w:rsidRDefault="00687F77" w:rsidP="00F00313">
            <w:pPr>
              <w:jc w:val="center"/>
            </w:pPr>
            <w:r>
              <w:t>10 780,10</w:t>
            </w:r>
          </w:p>
        </w:tc>
      </w:tr>
      <w:tr w:rsidR="00687F77" w:rsidRPr="00EF6B8E" w:rsidTr="00F00313">
        <w:trPr>
          <w:trHeight w:val="27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2.</w:t>
            </w:r>
          </w:p>
        </w:tc>
        <w:tc>
          <w:tcPr>
            <w:tcW w:w="5605" w:type="dxa"/>
            <w:shd w:val="clear" w:color="auto" w:fill="auto"/>
          </w:tcPr>
          <w:p w:rsidR="00687F77" w:rsidRPr="00EF6B8E" w:rsidRDefault="00687F77" w:rsidP="00F00313">
            <w:r>
              <w:t>SIA “Kurzemes Gaļsaimnieks”</w:t>
            </w:r>
          </w:p>
        </w:tc>
        <w:tc>
          <w:tcPr>
            <w:tcW w:w="2044" w:type="dxa"/>
            <w:shd w:val="clear" w:color="auto" w:fill="auto"/>
          </w:tcPr>
          <w:p w:rsidR="00687F77" w:rsidRPr="00EF6B8E" w:rsidRDefault="00687F77" w:rsidP="00F00313">
            <w:pPr>
              <w:jc w:val="center"/>
            </w:pPr>
            <w:r>
              <w:t>22 301,00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5.</w:t>
            </w:r>
          </w:p>
        </w:tc>
        <w:tc>
          <w:tcPr>
            <w:tcW w:w="5605" w:type="dxa"/>
            <w:shd w:val="clear" w:color="auto" w:fill="auto"/>
          </w:tcPr>
          <w:p w:rsidR="00687F77" w:rsidRPr="00EF6B8E" w:rsidRDefault="00687F77" w:rsidP="00F00313">
            <w:r>
              <w:t>SIA “Kurzemes Gaļsaimnieks”</w:t>
            </w:r>
          </w:p>
        </w:tc>
        <w:tc>
          <w:tcPr>
            <w:tcW w:w="2044" w:type="dxa"/>
            <w:shd w:val="clear" w:color="auto" w:fill="auto"/>
          </w:tcPr>
          <w:p w:rsidR="00687F77" w:rsidRPr="00EF6B8E" w:rsidRDefault="00687F77" w:rsidP="00F00313">
            <w:pPr>
              <w:jc w:val="center"/>
            </w:pPr>
            <w:r>
              <w:t>15 161,80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2.</w:t>
            </w:r>
          </w:p>
        </w:tc>
        <w:tc>
          <w:tcPr>
            <w:tcW w:w="5605" w:type="dxa"/>
            <w:shd w:val="clear" w:color="auto" w:fill="auto"/>
          </w:tcPr>
          <w:p w:rsidR="00687F77" w:rsidRPr="00EF6B8E" w:rsidRDefault="00687F77" w:rsidP="00F00313">
            <w:r>
              <w:t>SIA “BAJARDS”</w:t>
            </w:r>
          </w:p>
        </w:tc>
        <w:tc>
          <w:tcPr>
            <w:tcW w:w="2044" w:type="dxa"/>
            <w:shd w:val="clear" w:color="auto" w:fill="auto"/>
          </w:tcPr>
          <w:p w:rsidR="00687F77" w:rsidRPr="00EF6B8E" w:rsidRDefault="00687F77" w:rsidP="00F00313">
            <w:pPr>
              <w:jc w:val="center"/>
            </w:pPr>
            <w:r>
              <w:t>24 559,50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1.</w:t>
            </w:r>
          </w:p>
        </w:tc>
        <w:tc>
          <w:tcPr>
            <w:tcW w:w="5605" w:type="dxa"/>
            <w:shd w:val="clear" w:color="auto" w:fill="auto"/>
          </w:tcPr>
          <w:p w:rsidR="00687F77" w:rsidRPr="00EF6B8E" w:rsidRDefault="00687F77" w:rsidP="00F00313">
            <w:r>
              <w:t>SIA “VALKS”</w:t>
            </w:r>
          </w:p>
        </w:tc>
        <w:tc>
          <w:tcPr>
            <w:tcW w:w="2044" w:type="dxa"/>
            <w:shd w:val="clear" w:color="auto" w:fill="auto"/>
          </w:tcPr>
          <w:p w:rsidR="00687F77" w:rsidRPr="00EF6B8E" w:rsidRDefault="00687F77" w:rsidP="00F00313">
            <w:pPr>
              <w:jc w:val="center"/>
            </w:pPr>
            <w:r>
              <w:t>30 354,00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2.</w:t>
            </w:r>
          </w:p>
        </w:tc>
        <w:tc>
          <w:tcPr>
            <w:tcW w:w="5605" w:type="dxa"/>
            <w:shd w:val="clear" w:color="auto" w:fill="auto"/>
          </w:tcPr>
          <w:p w:rsidR="00687F77" w:rsidRPr="00EF6B8E" w:rsidRDefault="00687F77" w:rsidP="00F00313">
            <w:r>
              <w:t>Z/s  “Sietiņi”</w:t>
            </w:r>
          </w:p>
        </w:tc>
        <w:tc>
          <w:tcPr>
            <w:tcW w:w="2044" w:type="dxa"/>
            <w:shd w:val="clear" w:color="auto" w:fill="auto"/>
          </w:tcPr>
          <w:p w:rsidR="00687F77" w:rsidRPr="00EF6B8E" w:rsidRDefault="00687F77" w:rsidP="00F00313">
            <w:pPr>
              <w:jc w:val="center"/>
            </w:pPr>
            <w:r>
              <w:t>24 920,00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2.</w:t>
            </w:r>
          </w:p>
        </w:tc>
        <w:tc>
          <w:tcPr>
            <w:tcW w:w="5605" w:type="dxa"/>
            <w:shd w:val="clear" w:color="auto" w:fill="auto"/>
          </w:tcPr>
          <w:p w:rsidR="00687F77" w:rsidRPr="00EF6B8E" w:rsidRDefault="00687F77" w:rsidP="00F00313">
            <w:r>
              <w:t>SIA “Rēzeknes gaļas kombināts”</w:t>
            </w:r>
          </w:p>
        </w:tc>
        <w:tc>
          <w:tcPr>
            <w:tcW w:w="2044" w:type="dxa"/>
            <w:shd w:val="clear" w:color="auto" w:fill="auto"/>
          </w:tcPr>
          <w:p w:rsidR="00687F77" w:rsidRPr="00EF6B8E" w:rsidRDefault="00687F77" w:rsidP="00F00313">
            <w:pPr>
              <w:jc w:val="center"/>
            </w:pPr>
            <w:r>
              <w:t>21 839,50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5.</w:t>
            </w:r>
          </w:p>
        </w:tc>
        <w:tc>
          <w:tcPr>
            <w:tcW w:w="5605" w:type="dxa"/>
            <w:shd w:val="clear" w:color="auto" w:fill="auto"/>
          </w:tcPr>
          <w:p w:rsidR="00687F77" w:rsidRPr="00EF6B8E" w:rsidRDefault="00687F77" w:rsidP="00F00313">
            <w:r>
              <w:t>SIA “Rēzeknes gaļas kombināts”</w:t>
            </w:r>
          </w:p>
        </w:tc>
        <w:tc>
          <w:tcPr>
            <w:tcW w:w="2044" w:type="dxa"/>
            <w:shd w:val="clear" w:color="auto" w:fill="auto"/>
          </w:tcPr>
          <w:p w:rsidR="00687F77" w:rsidRPr="00EF6B8E" w:rsidRDefault="00687F77" w:rsidP="00F00313">
            <w:pPr>
              <w:jc w:val="center"/>
            </w:pPr>
            <w:r>
              <w:t>14 434,40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3.</w:t>
            </w:r>
          </w:p>
        </w:tc>
        <w:tc>
          <w:tcPr>
            <w:tcW w:w="5605" w:type="dxa"/>
            <w:shd w:val="clear" w:color="auto" w:fill="auto"/>
          </w:tcPr>
          <w:p w:rsidR="00687F77" w:rsidRPr="00EF6B8E" w:rsidRDefault="00687F77" w:rsidP="00F00313">
            <w:r>
              <w:t>SIA “FUTURUS FOOD”</w:t>
            </w:r>
          </w:p>
        </w:tc>
        <w:tc>
          <w:tcPr>
            <w:tcW w:w="2044" w:type="dxa"/>
            <w:shd w:val="clear" w:color="auto" w:fill="auto"/>
          </w:tcPr>
          <w:p w:rsidR="00687F77" w:rsidRPr="00EF6B8E" w:rsidRDefault="00687F77" w:rsidP="00F00313">
            <w:pPr>
              <w:jc w:val="center"/>
            </w:pPr>
            <w:r>
              <w:t>22 580,73</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1.</w:t>
            </w:r>
          </w:p>
        </w:tc>
        <w:tc>
          <w:tcPr>
            <w:tcW w:w="5605" w:type="dxa"/>
            <w:shd w:val="clear" w:color="auto" w:fill="auto"/>
          </w:tcPr>
          <w:p w:rsidR="00687F77" w:rsidRPr="00EF6B8E" w:rsidRDefault="00687F77" w:rsidP="00F00313">
            <w:r>
              <w:t>A/S “Preiļu siers”</w:t>
            </w:r>
          </w:p>
        </w:tc>
        <w:tc>
          <w:tcPr>
            <w:tcW w:w="2044" w:type="dxa"/>
            <w:shd w:val="clear" w:color="auto" w:fill="auto"/>
          </w:tcPr>
          <w:p w:rsidR="00687F77" w:rsidRPr="00EF6B8E" w:rsidRDefault="00687F77" w:rsidP="00F00313">
            <w:pPr>
              <w:jc w:val="center"/>
            </w:pPr>
            <w:r>
              <w:t>28 318,00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6.</w:t>
            </w:r>
          </w:p>
        </w:tc>
        <w:tc>
          <w:tcPr>
            <w:tcW w:w="5605" w:type="dxa"/>
            <w:shd w:val="clear" w:color="auto" w:fill="auto"/>
          </w:tcPr>
          <w:p w:rsidR="00687F77" w:rsidRDefault="00687F77" w:rsidP="00F00313">
            <w:r>
              <w:t>A/S “Premia FFL”</w:t>
            </w:r>
          </w:p>
        </w:tc>
        <w:tc>
          <w:tcPr>
            <w:tcW w:w="2044" w:type="dxa"/>
            <w:shd w:val="clear" w:color="auto" w:fill="auto"/>
          </w:tcPr>
          <w:p w:rsidR="00687F77" w:rsidRPr="00EF6B8E" w:rsidRDefault="00687F77" w:rsidP="00F00313">
            <w:pPr>
              <w:jc w:val="center"/>
            </w:pPr>
            <w:r>
              <w:t>15 742,70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5.</w:t>
            </w:r>
          </w:p>
        </w:tc>
        <w:tc>
          <w:tcPr>
            <w:tcW w:w="5605" w:type="dxa"/>
            <w:shd w:val="clear" w:color="auto" w:fill="auto"/>
          </w:tcPr>
          <w:p w:rsidR="00687F77" w:rsidRPr="00EF6B8E" w:rsidRDefault="00687F77" w:rsidP="00F00313">
            <w:r>
              <w:t>SIA “FOREVERS”</w:t>
            </w:r>
          </w:p>
        </w:tc>
        <w:tc>
          <w:tcPr>
            <w:tcW w:w="2044" w:type="dxa"/>
            <w:shd w:val="clear" w:color="auto" w:fill="auto"/>
          </w:tcPr>
          <w:p w:rsidR="00687F77" w:rsidRPr="00EF6B8E" w:rsidRDefault="00687F77" w:rsidP="00F00313">
            <w:pPr>
              <w:jc w:val="center"/>
            </w:pPr>
            <w:r>
              <w:t>13 575,60</w:t>
            </w:r>
          </w:p>
        </w:tc>
      </w:tr>
      <w:tr w:rsidR="00687F77" w:rsidRPr="00EF6B8E" w:rsidTr="00F00313">
        <w:trPr>
          <w:trHeight w:val="284"/>
        </w:trPr>
        <w:tc>
          <w:tcPr>
            <w:tcW w:w="797" w:type="dxa"/>
            <w:shd w:val="clear" w:color="auto" w:fill="auto"/>
          </w:tcPr>
          <w:p w:rsidR="00687F77" w:rsidRPr="00EF6B8E" w:rsidRDefault="00687F77" w:rsidP="00F00313">
            <w:pPr>
              <w:numPr>
                <w:ilvl w:val="0"/>
                <w:numId w:val="1"/>
              </w:numPr>
              <w:jc w:val="center"/>
            </w:pPr>
          </w:p>
        </w:tc>
        <w:tc>
          <w:tcPr>
            <w:tcW w:w="899" w:type="dxa"/>
          </w:tcPr>
          <w:p w:rsidR="00687F77" w:rsidRPr="00EF6B8E" w:rsidRDefault="00687F77" w:rsidP="00F00313">
            <w:pPr>
              <w:jc w:val="center"/>
            </w:pPr>
            <w:r>
              <w:t>4.</w:t>
            </w:r>
          </w:p>
        </w:tc>
        <w:tc>
          <w:tcPr>
            <w:tcW w:w="5605" w:type="dxa"/>
            <w:shd w:val="clear" w:color="auto" w:fill="auto"/>
          </w:tcPr>
          <w:p w:rsidR="00687F77" w:rsidRPr="00EF6B8E" w:rsidRDefault="00687F77" w:rsidP="00F00313">
            <w:r>
              <w:t>SIA “Vecā maiznīca”</w:t>
            </w:r>
          </w:p>
        </w:tc>
        <w:tc>
          <w:tcPr>
            <w:tcW w:w="2044" w:type="dxa"/>
            <w:shd w:val="clear" w:color="auto" w:fill="auto"/>
          </w:tcPr>
          <w:p w:rsidR="00687F77" w:rsidRPr="00EF6B8E" w:rsidRDefault="00687F77" w:rsidP="00F00313">
            <w:pPr>
              <w:jc w:val="center"/>
            </w:pPr>
            <w:r>
              <w:t>15 221,50</w:t>
            </w:r>
          </w:p>
        </w:tc>
      </w:tr>
    </w:tbl>
    <w:p w:rsidR="00687F77" w:rsidRDefault="00687F77" w:rsidP="00687F77">
      <w:pPr>
        <w:jc w:val="both"/>
      </w:pPr>
    </w:p>
    <w:p w:rsidR="00687F77" w:rsidRDefault="00057B07" w:rsidP="00687F77">
      <w:pPr>
        <w:ind w:firstLine="720"/>
        <w:jc w:val="both"/>
      </w:pPr>
      <w:r>
        <w:t xml:space="preserve">1.2. </w:t>
      </w:r>
      <w:r w:rsidR="00687F77">
        <w:t xml:space="preserve">Iepirkumu komisija konstatē, ka pretendenti SIA “Sanitex”, </w:t>
      </w:r>
      <w:r w:rsidR="00687F77" w:rsidRPr="00DB2A62">
        <w:t>SIA “Kurzemes Gaļsaimnieks”</w:t>
      </w:r>
      <w:r w:rsidR="00687F77">
        <w:t xml:space="preserve"> un </w:t>
      </w:r>
      <w:r w:rsidR="00687F77" w:rsidRPr="00DB2A62">
        <w:t>SIA “Rēzeknes gaļas kombināts”</w:t>
      </w:r>
      <w:r w:rsidR="00687F77">
        <w:t xml:space="preserve">  ir iesnieguši piedāvājumus par vairākām daļām, kas ir pretrunā ar Paziņojuma par līgumu, kas 2017.gada 18.oktobrī publicēts IUB mājas lapā, II Iedaļas 1.6.punktā noteiktajām prasībām (piedāvājums jāiesniedz tikai par vienu daļu)  un Atklāta konkursa nolikuma 2.daļas 2.1.3. punktu - katrs pretendents ir tiesīgs iesniegt piedāvājumu tikai par vienu daļu. </w:t>
      </w:r>
    </w:p>
    <w:p w:rsidR="00687F77" w:rsidRPr="00657284" w:rsidRDefault="00057B07" w:rsidP="00687F77">
      <w:pPr>
        <w:ind w:firstLine="720"/>
        <w:jc w:val="both"/>
      </w:pPr>
      <w:r>
        <w:t xml:space="preserve">1.3. </w:t>
      </w:r>
      <w:r w:rsidR="00687F77" w:rsidRPr="00DE5F0C">
        <w:t xml:space="preserve">Komisija atklāti balsojot, </w:t>
      </w:r>
      <w:r w:rsidR="00687F77" w:rsidRPr="0057698B">
        <w:t>PAR- 6 (D.Svētiņa, G.Majore, D.Kļaviņa, A.Ozola, A.Pastars, I.Pabērza) balsis, PRET- (nav) b</w:t>
      </w:r>
      <w:r w:rsidR="00687F77" w:rsidRPr="00DE5F0C">
        <w:t xml:space="preserve">alsis, nolemj: </w:t>
      </w:r>
      <w:r w:rsidR="00687F77">
        <w:t xml:space="preserve">SIA “Sanitex”, SIA “Kurzemes </w:t>
      </w:r>
      <w:r w:rsidR="00687F77" w:rsidRPr="00657284">
        <w:t xml:space="preserve">Gaļsaimnieks” un SIA “Rēzeknes gaļas kombināts” iesniegtos piedāvājumus </w:t>
      </w:r>
      <w:r w:rsidR="00657284" w:rsidRPr="00657284">
        <w:t>atzīt par neatbilstošiem un izslēgt no tālākas piedalīšanās izvērtēšanā</w:t>
      </w:r>
      <w:r w:rsidR="00687F77" w:rsidRPr="00657284">
        <w:t>.</w:t>
      </w:r>
    </w:p>
    <w:p w:rsidR="00687F77" w:rsidRDefault="00687F77" w:rsidP="00687F77">
      <w:pPr>
        <w:jc w:val="both"/>
      </w:pPr>
    </w:p>
    <w:p w:rsidR="005A14E9" w:rsidRDefault="00687F77" w:rsidP="00687F77">
      <w:pPr>
        <w:jc w:val="center"/>
        <w:rPr>
          <w:b/>
        </w:rPr>
      </w:pPr>
      <w:r w:rsidRPr="0000324D">
        <w:rPr>
          <w:b/>
        </w:rPr>
        <w:t xml:space="preserve">2. </w:t>
      </w:r>
    </w:p>
    <w:p w:rsidR="00687F77" w:rsidRDefault="00687F77" w:rsidP="00687F77">
      <w:pPr>
        <w:jc w:val="center"/>
        <w:rPr>
          <w:b/>
        </w:rPr>
      </w:pPr>
      <w:r w:rsidRPr="0000324D">
        <w:rPr>
          <w:b/>
        </w:rPr>
        <w:t>Pretendentu iesniegto piedāvājumu noformējuma pārbaude</w:t>
      </w:r>
    </w:p>
    <w:p w:rsidR="00687F77" w:rsidRPr="0000324D" w:rsidRDefault="00687F77" w:rsidP="00687F77">
      <w:pPr>
        <w:jc w:val="center"/>
        <w:rPr>
          <w:b/>
        </w:rPr>
      </w:pPr>
    </w:p>
    <w:p w:rsidR="00687F77" w:rsidRDefault="00687F77" w:rsidP="00687F77">
      <w:pPr>
        <w:ind w:firstLine="720"/>
        <w:jc w:val="both"/>
      </w:pPr>
      <w:r w:rsidRPr="00C963D9">
        <w:t xml:space="preserve">Komisija pārbauda pretendentu piedāvājumu noformējuma atbilstību un konstatē, ka pretendentu </w:t>
      </w:r>
      <w:r w:rsidRPr="00DB2A62">
        <w:t>SIA “Kabuleti Fruit”</w:t>
      </w:r>
      <w:r>
        <w:t xml:space="preserve">, </w:t>
      </w:r>
      <w:r w:rsidRPr="00DB2A62">
        <w:t>SIA “BAJARDS”</w:t>
      </w:r>
      <w:r>
        <w:t xml:space="preserve">,  </w:t>
      </w:r>
      <w:r w:rsidRPr="00DB2A62">
        <w:t>SIA “VALKS”</w:t>
      </w:r>
      <w:r>
        <w:t xml:space="preserve">, </w:t>
      </w:r>
      <w:r w:rsidRPr="00DB2A62">
        <w:t>Z/s  “Sietiņi”</w:t>
      </w:r>
      <w:r>
        <w:t xml:space="preserve">, </w:t>
      </w:r>
      <w:r w:rsidRPr="00DB2A62">
        <w:t>SIA “FUTURUS FOOD”</w:t>
      </w:r>
      <w:r>
        <w:t xml:space="preserve">, </w:t>
      </w:r>
      <w:r w:rsidRPr="00DB2A62">
        <w:t>A/S “Preiļu siers”</w:t>
      </w:r>
      <w:r>
        <w:t xml:space="preserve">, </w:t>
      </w:r>
      <w:r w:rsidRPr="00DB2A62">
        <w:t>A/S “Premia FFL”</w:t>
      </w:r>
      <w:r>
        <w:t xml:space="preserve">, </w:t>
      </w:r>
      <w:r w:rsidRPr="00DB2A62">
        <w:t>SIA “FOREVERS”</w:t>
      </w:r>
      <w:r>
        <w:t xml:space="preserve"> un  </w:t>
      </w:r>
      <w:r w:rsidRPr="00DB2A62">
        <w:t>SIA “Vecā maiznīca”</w:t>
      </w:r>
      <w:r>
        <w:t xml:space="preserve"> </w:t>
      </w:r>
      <w:r w:rsidRPr="00C963D9">
        <w:t>iesniegto piedāvā</w:t>
      </w:r>
      <w:r w:rsidR="005A14E9">
        <w:t>jumu noformējums atbilst atklāta</w:t>
      </w:r>
      <w:r w:rsidRPr="00C963D9">
        <w:t xml:space="preserve"> konkursa nolikuma prasībām.</w:t>
      </w:r>
    </w:p>
    <w:p w:rsidR="00687F77" w:rsidRDefault="00687F77" w:rsidP="00687F77">
      <w:pPr>
        <w:ind w:firstLine="720"/>
        <w:jc w:val="both"/>
      </w:pPr>
    </w:p>
    <w:p w:rsidR="005A14E9" w:rsidRDefault="00687F77" w:rsidP="00687F77">
      <w:pPr>
        <w:ind w:firstLine="720"/>
        <w:jc w:val="center"/>
        <w:rPr>
          <w:b/>
        </w:rPr>
      </w:pPr>
      <w:r w:rsidRPr="0000324D">
        <w:rPr>
          <w:b/>
        </w:rPr>
        <w:t xml:space="preserve">3. </w:t>
      </w:r>
    </w:p>
    <w:p w:rsidR="00687F77" w:rsidRDefault="00687F77" w:rsidP="00687F77">
      <w:pPr>
        <w:ind w:firstLine="720"/>
        <w:jc w:val="center"/>
        <w:rPr>
          <w:b/>
        </w:rPr>
      </w:pPr>
      <w:r w:rsidRPr="0000324D">
        <w:rPr>
          <w:b/>
        </w:rPr>
        <w:t>Pretendentu izvērtēšana atbilstoši atlases prasībām</w:t>
      </w:r>
    </w:p>
    <w:p w:rsidR="00687F77" w:rsidRPr="0000324D" w:rsidRDefault="00687F77" w:rsidP="00687F77">
      <w:pPr>
        <w:ind w:firstLine="720"/>
        <w:jc w:val="center"/>
        <w:rPr>
          <w:b/>
        </w:rPr>
      </w:pPr>
    </w:p>
    <w:p w:rsidR="00687F77" w:rsidRPr="00657284" w:rsidRDefault="00066CAE" w:rsidP="00066CAE">
      <w:pPr>
        <w:ind w:firstLine="720"/>
        <w:jc w:val="both"/>
      </w:pPr>
      <w:r>
        <w:t>3.1.</w:t>
      </w:r>
      <w:r w:rsidR="00057B07">
        <w:t xml:space="preserve"> </w:t>
      </w:r>
      <w:r w:rsidR="00687F77" w:rsidRPr="0000324D">
        <w:t>Komisija pārbauda pretendentu iesniegto atlases dokumentu atbilstību un konstatē, ka</w:t>
      </w:r>
      <w:r>
        <w:t xml:space="preserve"> </w:t>
      </w:r>
      <w:r w:rsidR="00687F77" w:rsidRPr="0000324D">
        <w:t>pretendentu SIA “Kabuleti Fruit”,  SIA “VALKS”, Z/s  “Sietiņi”, SIA “FU</w:t>
      </w:r>
      <w:r w:rsidR="00687F77">
        <w:t>TURUS FOOD”, A/S “Preiļu siers”</w:t>
      </w:r>
      <w:r w:rsidR="00687F77" w:rsidRPr="0000324D">
        <w:t xml:space="preserve"> un  SIA “Vecā maiznīca” iesniegtie a</w:t>
      </w:r>
      <w:r w:rsidR="005A14E9">
        <w:t>tlases dokumenti atbilst atklāta</w:t>
      </w:r>
      <w:r w:rsidR="00687F77" w:rsidRPr="0000324D">
        <w:t xml:space="preserve"> </w:t>
      </w:r>
      <w:r w:rsidR="00687F77" w:rsidRPr="00657284">
        <w:t>konkursa nolikuma prasībām</w:t>
      </w:r>
      <w:r>
        <w:t>.</w:t>
      </w:r>
      <w:r w:rsidR="00687F77" w:rsidRPr="00657284">
        <w:t xml:space="preserve"> </w:t>
      </w:r>
    </w:p>
    <w:p w:rsidR="00687F77" w:rsidRDefault="00687F77" w:rsidP="00687F77">
      <w:pPr>
        <w:ind w:firstLine="720"/>
        <w:jc w:val="both"/>
      </w:pPr>
      <w:r w:rsidRPr="00657284">
        <w:t xml:space="preserve">3.2. </w:t>
      </w:r>
      <w:r w:rsidR="00066CAE">
        <w:t>Iepirkumu komisija konstatē, ka a</w:t>
      </w:r>
      <w:r w:rsidRPr="00657284">
        <w:t>tbilstoši atklātā konkursa nolikuma 3.daļas 3.2.15 punkta prasībām</w:t>
      </w:r>
      <w:r w:rsidR="00941A99" w:rsidRPr="00657284">
        <w:t>,</w:t>
      </w:r>
      <w:r w:rsidRPr="00657284">
        <w:t xml:space="preserve"> preten</w:t>
      </w:r>
      <w:r w:rsidR="00066CAE">
        <w:t xml:space="preserve">denti SIA “BAJARDS”, </w:t>
      </w:r>
      <w:r w:rsidRPr="00657284">
        <w:t>A/S “Premia FFL”, SIA “FOREVERS” nav iesnieguši informāciju brīvā formā vai Pretendenta uzņēmums atbilst mazā vai vidējā uzņēmuma statusam</w:t>
      </w:r>
      <w:r w:rsidR="00066CAE">
        <w:t>.</w:t>
      </w:r>
    </w:p>
    <w:p w:rsidR="00066CAE" w:rsidRPr="00657284" w:rsidRDefault="00066CAE" w:rsidP="00066CAE">
      <w:pPr>
        <w:ind w:firstLine="720"/>
        <w:jc w:val="both"/>
      </w:pPr>
      <w:r>
        <w:t>3.3.</w:t>
      </w:r>
      <w:r w:rsidRPr="00066CAE">
        <w:t xml:space="preserve"> </w:t>
      </w:r>
      <w:r w:rsidRPr="00657284">
        <w:t>Izskatot pretendentu iesniegtos gada finanšu apgrozījumus, Iepirkumu komisija secina, ka pretendenti A/S “Premia FFL” un SIA “FOREVERS” atbilst vidējā uzņēmuma statusam un pretendents SIA “BAJARDS” atbilst mazā uzņēmuma statusam.</w:t>
      </w:r>
    </w:p>
    <w:p w:rsidR="00687F77" w:rsidRPr="00E66D21" w:rsidRDefault="00066CAE" w:rsidP="00687F77">
      <w:pPr>
        <w:ind w:firstLine="720"/>
        <w:jc w:val="both"/>
      </w:pPr>
      <w:r>
        <w:t>3.4</w:t>
      </w:r>
      <w:r w:rsidR="00687F77">
        <w:t xml:space="preserve">. </w:t>
      </w:r>
      <w:r w:rsidR="00941A99">
        <w:t xml:space="preserve"> </w:t>
      </w:r>
      <w:r>
        <w:t xml:space="preserve">Iepirkumu komisija konstatē, ka </w:t>
      </w:r>
      <w:r w:rsidR="00941A99">
        <w:t>a</w:t>
      </w:r>
      <w:r w:rsidR="00687F77" w:rsidRPr="00CD46A4">
        <w:t xml:space="preserve">tbilstoši atklātā konkursa nolikuma 3.daļas </w:t>
      </w:r>
      <w:r w:rsidR="00687F77" w:rsidRPr="00366F20">
        <w:t>3.2.9.</w:t>
      </w:r>
      <w:r w:rsidR="00687F77">
        <w:t xml:space="preserve"> punkta prasībām</w:t>
      </w:r>
      <w:r w:rsidR="00941A99">
        <w:t>,</w:t>
      </w:r>
      <w:r w:rsidR="00687F77">
        <w:t xml:space="preserve"> pretendents SIA “Kabuleti Fruit” nav iesniedzis vismaz divas p</w:t>
      </w:r>
      <w:r w:rsidR="00687F77" w:rsidRPr="00366F20">
        <w:t xml:space="preserve">ozitīvas preču un </w:t>
      </w:r>
      <w:r w:rsidR="00687F77" w:rsidRPr="00366F20">
        <w:lastRenderedPageBreak/>
        <w:t>pakalpojumu saņēmēju atsauksmes no nolikuma 3.1.6. punktā minētajiem līgumiem</w:t>
      </w:r>
      <w:r w:rsidR="00687F77">
        <w:t xml:space="preserve">. </w:t>
      </w:r>
      <w:r w:rsidR="00941A99">
        <w:t>I</w:t>
      </w:r>
      <w:r w:rsidR="00687F77">
        <w:t xml:space="preserve">esniegta </w:t>
      </w:r>
      <w:r w:rsidR="00941A99">
        <w:t xml:space="preserve">ir </w:t>
      </w:r>
      <w:r w:rsidR="00687F77">
        <w:t xml:space="preserve">tikai informācija par </w:t>
      </w:r>
      <w:r w:rsidR="00687F77" w:rsidRPr="00E66D21">
        <w:t>noslēgtajiem līgumiem norādot kontaktinformāciju atsauksmēm. Iepirkumu komisija</w:t>
      </w:r>
      <w:r w:rsidR="00E66D21" w:rsidRPr="00E66D21">
        <w:t>s priekšsēdētājs</w:t>
      </w:r>
      <w:r w:rsidR="00687F77" w:rsidRPr="00E66D21">
        <w:t xml:space="preserve"> telefoniski sazinās ar norādītajām kontaktpersonām</w:t>
      </w:r>
      <w:r w:rsidR="00E66D21" w:rsidRPr="00E66D21">
        <w:t>: SIA “Brocēnu ceļš” (t. 29574019 – ēdināšanas pārstāvis) un Saldus tehnikums (t. 28375674 – iepirkumu speciālists)</w:t>
      </w:r>
      <w:r w:rsidR="00687F77" w:rsidRPr="00E66D21">
        <w:t xml:space="preserve"> un iegūst pozitīvas atsauksmes par norādīto līgumu izpildi.</w:t>
      </w:r>
    </w:p>
    <w:p w:rsidR="00687F77" w:rsidRDefault="00657284" w:rsidP="00687F77">
      <w:pPr>
        <w:ind w:firstLine="720"/>
        <w:jc w:val="both"/>
      </w:pPr>
      <w:r w:rsidRPr="00657284">
        <w:t>3.5</w:t>
      </w:r>
      <w:r w:rsidR="00687F77" w:rsidRPr="00657284">
        <w:t xml:space="preserve">. </w:t>
      </w:r>
      <w:r w:rsidRPr="00657284">
        <w:t>K</w:t>
      </w:r>
      <w:r w:rsidR="00687F77" w:rsidRPr="00657284">
        <w:t xml:space="preserve">omisija nolemj turpināt darbu, veicot pretendentu SIA “Kabuleti Fruit”, SIA </w:t>
      </w:r>
      <w:r w:rsidR="00687F77" w:rsidRPr="00366F20">
        <w:t>“BAJARDS”,  SIA “VALKS”, Z/s  “Sietiņi”, SIA “FUTURUS FOOD”, A/S “Preiļu siers”, A/S “Premia FFL”, SIA “FOREVERS” un  SIA “Vecā maiznīca”</w:t>
      </w:r>
      <w:r w:rsidR="00687F77">
        <w:t xml:space="preserve"> piedāvājumu izvērtēšanu.</w:t>
      </w:r>
      <w:r w:rsidRPr="00657284">
        <w:rPr>
          <w:color w:val="FF0000"/>
        </w:rPr>
        <w:t xml:space="preserve"> </w:t>
      </w:r>
    </w:p>
    <w:p w:rsidR="00687F77" w:rsidRDefault="00687F77" w:rsidP="00687F77">
      <w:pPr>
        <w:ind w:firstLine="720"/>
        <w:jc w:val="both"/>
      </w:pPr>
    </w:p>
    <w:p w:rsidR="00941A99" w:rsidRDefault="00687F77" w:rsidP="00687F77">
      <w:pPr>
        <w:ind w:firstLine="720"/>
        <w:jc w:val="center"/>
        <w:rPr>
          <w:b/>
        </w:rPr>
      </w:pPr>
      <w:r w:rsidRPr="0000324D">
        <w:rPr>
          <w:b/>
        </w:rPr>
        <w:t xml:space="preserve">4. </w:t>
      </w:r>
    </w:p>
    <w:p w:rsidR="00687F77" w:rsidRDefault="00687F77" w:rsidP="00687F77">
      <w:pPr>
        <w:ind w:firstLine="720"/>
        <w:jc w:val="center"/>
        <w:rPr>
          <w:b/>
        </w:rPr>
      </w:pPr>
      <w:r w:rsidRPr="0000324D">
        <w:rPr>
          <w:b/>
        </w:rPr>
        <w:t>Pretendent</w:t>
      </w:r>
      <w:r w:rsidR="00941A99">
        <w:rPr>
          <w:b/>
        </w:rPr>
        <w:t>u iesniegto Tehnisko piedāvājumu</w:t>
      </w:r>
      <w:r w:rsidRPr="0000324D">
        <w:rPr>
          <w:b/>
        </w:rPr>
        <w:t xml:space="preserve"> izvērtēšana</w:t>
      </w:r>
    </w:p>
    <w:p w:rsidR="00687F77" w:rsidRPr="0000324D" w:rsidRDefault="00687F77" w:rsidP="00687F77">
      <w:pPr>
        <w:ind w:firstLine="720"/>
        <w:jc w:val="center"/>
        <w:rPr>
          <w:b/>
        </w:rPr>
      </w:pPr>
    </w:p>
    <w:p w:rsidR="00687F77" w:rsidRDefault="00057B07" w:rsidP="00057B07">
      <w:pPr>
        <w:ind w:firstLine="720"/>
        <w:jc w:val="both"/>
      </w:pPr>
      <w:r>
        <w:t xml:space="preserve">4.1. </w:t>
      </w:r>
      <w:r w:rsidR="00687F77" w:rsidRPr="0000324D">
        <w:t>Komisija pārbauda pretendentu iesniegto tehnisko piedāvājumu atbilstību un konstatē, ka</w:t>
      </w:r>
      <w:r>
        <w:t xml:space="preserve"> </w:t>
      </w:r>
      <w:r w:rsidR="00687F77" w:rsidRPr="0000324D">
        <w:t xml:space="preserve">pretendentu </w:t>
      </w:r>
      <w:r w:rsidR="00687F77" w:rsidRPr="000B7CE7">
        <w:t>SIA “Kabuleti Fruit”, SIA “BAJARDS”,  SIA “VALKS”, Z/s  “Sietiņi”, SIA “FUTURUS FOOD”, A/S “P</w:t>
      </w:r>
      <w:r w:rsidR="00687F77">
        <w:t xml:space="preserve">reiļu siers”, A/S “Premia FFL” </w:t>
      </w:r>
      <w:r w:rsidR="00687F77" w:rsidRPr="000B7CE7">
        <w:t>un  SIA “Vecā maiznīca”</w:t>
      </w:r>
      <w:r w:rsidR="00687F77" w:rsidRPr="0000324D">
        <w:t xml:space="preserve"> iesniegtie tehni</w:t>
      </w:r>
      <w:r w:rsidR="00941A99">
        <w:t>skie piedāvājumi atbilst atklāta</w:t>
      </w:r>
      <w:r w:rsidR="00687F77" w:rsidRPr="0000324D">
        <w:t xml:space="preserve"> konkursa nolikuma prasībām</w:t>
      </w:r>
      <w:r>
        <w:t>.</w:t>
      </w:r>
    </w:p>
    <w:p w:rsidR="006B4930" w:rsidRPr="00EC0060" w:rsidRDefault="006B4930" w:rsidP="006B4930">
      <w:pPr>
        <w:ind w:firstLine="720"/>
        <w:jc w:val="both"/>
      </w:pPr>
      <w:r w:rsidRPr="00EC0060">
        <w:t>4.2. Iepirkumu komisija konstatē, ka pretendents SIA “FOREVERS” summējot Tehniskā piedāvājuma pozīcijas (</w:t>
      </w:r>
      <w:r w:rsidR="0029382E" w:rsidRPr="00EC0060">
        <w:t>vienības</w:t>
      </w:r>
      <w:r w:rsidRPr="00EC0060">
        <w:t xml:space="preserve"> cenas EUR bez PVN par 1kg paliek nemainīgas) ir pieļāvis aritmētisku kļ</w:t>
      </w:r>
      <w:r w:rsidR="0029382E" w:rsidRPr="00EC0060">
        <w:t>ūdu: nav pareizi sasummējis skaitļus kolonnā uz leju.</w:t>
      </w:r>
      <w:r w:rsidRPr="00EC0060">
        <w:t xml:space="preserve"> </w:t>
      </w:r>
      <w:r w:rsidR="00C16DD3">
        <w:t xml:space="preserve">Kļūda ir radusies tehnisku iemeslu dēļ, jo summēšana veikta manuāli </w:t>
      </w:r>
      <w:r w:rsidR="00C16DD3" w:rsidRPr="00C16DD3">
        <w:rPr>
          <w:i/>
        </w:rPr>
        <w:t>W</w:t>
      </w:r>
      <w:r w:rsidR="00C16DD3">
        <w:rPr>
          <w:i/>
        </w:rPr>
        <w:t xml:space="preserve">ord </w:t>
      </w:r>
      <w:r w:rsidR="00C16DD3">
        <w:t xml:space="preserve">nevis </w:t>
      </w:r>
      <w:r w:rsidR="00C16DD3">
        <w:rPr>
          <w:i/>
        </w:rPr>
        <w:t xml:space="preserve">Excel </w:t>
      </w:r>
      <w:r w:rsidR="00C16DD3">
        <w:t xml:space="preserve">programmā. </w:t>
      </w:r>
      <w:r w:rsidRPr="00C16DD3">
        <w:t>Saskaņā a</w:t>
      </w:r>
      <w:r w:rsidRPr="00EC0060">
        <w:t>r At</w:t>
      </w:r>
      <w:r w:rsidR="0029382E" w:rsidRPr="00EC0060">
        <w:t xml:space="preserve">klāta konkursa nolikuma 4.daļu un PIL 41.panta 9.daļu, </w:t>
      </w:r>
      <w:r w:rsidRPr="00EC0060">
        <w:t xml:space="preserve">Iepirkumu komisija izlabo aritmētisko kļūdu </w:t>
      </w:r>
      <w:r w:rsidR="0029382E" w:rsidRPr="00EC0060">
        <w:t xml:space="preserve">300 euro apmērā </w:t>
      </w:r>
      <w:r w:rsidRPr="00EC0060">
        <w:t xml:space="preserve">no 13575,60 EUR uz 13875,60 EUR. Vērtējot finanšu piedāvājumu, iepirkumu komisija  ņems vērā </w:t>
      </w:r>
      <w:r w:rsidR="0029382E" w:rsidRPr="00EC0060">
        <w:t>veikto labojumu.</w:t>
      </w:r>
      <w:r w:rsidRPr="00EC0060">
        <w:t xml:space="preserve"> Par kļūdu labojumu un la</w:t>
      </w:r>
      <w:r w:rsidR="0029382E" w:rsidRPr="00EC0060">
        <w:t>boto piedāvājuma summu iepirkumu</w:t>
      </w:r>
      <w:r w:rsidRPr="00EC0060">
        <w:t xml:space="preserve"> komisija </w:t>
      </w:r>
      <w:r w:rsidR="00EC0060" w:rsidRPr="00EC0060">
        <w:t xml:space="preserve">elektroniski </w:t>
      </w:r>
      <w:r w:rsidRPr="00EC0060">
        <w:t xml:space="preserve">paziņo </w:t>
      </w:r>
      <w:r w:rsidR="0029382E" w:rsidRPr="00EC0060">
        <w:t>pretendenta SIA “FOREVERS” pilnvarotajai pārstāvei</w:t>
      </w:r>
      <w:r w:rsidRPr="00EC0060">
        <w:t xml:space="preserve"> </w:t>
      </w:r>
      <w:r w:rsidR="0029382E" w:rsidRPr="00EC0060">
        <w:t>R.Vālodzei-Tureiko.</w:t>
      </w:r>
      <w:r w:rsidR="006A113D">
        <w:t xml:space="preserve"> Pret</w:t>
      </w:r>
      <w:r w:rsidR="00CE0E84">
        <w:t>e</w:t>
      </w:r>
      <w:r w:rsidR="00FB15DF">
        <w:t>ndenta pārstāve piekrīt veiktajam kļūdu labojumam.</w:t>
      </w:r>
    </w:p>
    <w:p w:rsidR="00687F77" w:rsidRDefault="00687F77" w:rsidP="00687F77">
      <w:pPr>
        <w:ind w:firstLine="720"/>
        <w:jc w:val="both"/>
      </w:pPr>
      <w:r w:rsidRPr="00EC0060">
        <w:t xml:space="preserve">4.3. </w:t>
      </w:r>
      <w:r w:rsidR="00057B07" w:rsidRPr="00EC0060">
        <w:t>K</w:t>
      </w:r>
      <w:r w:rsidRPr="00EC0060">
        <w:t xml:space="preserve">omisija nolemj turpināt darbu, veicot pretendentu SIA “Kabuleti Fruit”, SIA </w:t>
      </w:r>
      <w:r w:rsidRPr="00DB54FD">
        <w:t xml:space="preserve">“BAJARDS”,  SIA “VALKS”, Z/s  “Sietiņi”, SIA “FUTURUS FOOD”, A/S “Preiļu siers”, A/S “Premia FFL”, SIA “FOREVERS” un  SIA “Vecā maiznīca” </w:t>
      </w:r>
      <w:r>
        <w:t xml:space="preserve">Finanšu </w:t>
      </w:r>
      <w:r w:rsidRPr="00DB54FD">
        <w:t xml:space="preserve">piedāvājumu </w:t>
      </w:r>
      <w:r>
        <w:t>pārbaudi</w:t>
      </w:r>
      <w:r w:rsidRPr="00DB54FD">
        <w:t>.</w:t>
      </w:r>
    </w:p>
    <w:p w:rsidR="00687F77" w:rsidRDefault="00687F77" w:rsidP="00687F77">
      <w:pPr>
        <w:ind w:firstLine="720"/>
        <w:jc w:val="both"/>
      </w:pPr>
    </w:p>
    <w:p w:rsidR="00941A99" w:rsidRDefault="00687F77" w:rsidP="00687F77">
      <w:pPr>
        <w:ind w:firstLine="720"/>
        <w:jc w:val="center"/>
        <w:rPr>
          <w:b/>
        </w:rPr>
      </w:pPr>
      <w:r w:rsidRPr="0000324D">
        <w:rPr>
          <w:b/>
        </w:rPr>
        <w:t xml:space="preserve">5. </w:t>
      </w:r>
    </w:p>
    <w:p w:rsidR="00687F77" w:rsidRDefault="00687F77" w:rsidP="00687F77">
      <w:pPr>
        <w:ind w:firstLine="720"/>
        <w:jc w:val="center"/>
        <w:rPr>
          <w:b/>
        </w:rPr>
      </w:pPr>
      <w:r w:rsidRPr="0000324D">
        <w:rPr>
          <w:b/>
        </w:rPr>
        <w:t>Pretendentu iesniegto Finanšu piedāvājumu pārbaude</w:t>
      </w:r>
    </w:p>
    <w:p w:rsidR="00687F77" w:rsidRPr="0000324D" w:rsidRDefault="00687F77" w:rsidP="00687F77">
      <w:pPr>
        <w:ind w:firstLine="720"/>
        <w:jc w:val="center"/>
        <w:rPr>
          <w:b/>
        </w:rPr>
      </w:pPr>
    </w:p>
    <w:p w:rsidR="00687F77" w:rsidRDefault="00687F77" w:rsidP="00687F77">
      <w:pPr>
        <w:ind w:firstLine="720"/>
        <w:jc w:val="both"/>
      </w:pPr>
      <w:r w:rsidRPr="0000324D">
        <w:t>Komisija pārbauda pretendentu iesniegto finanšu piedāvājumu atbilstību un konstatē, ka</w:t>
      </w:r>
      <w:r>
        <w:t>:</w:t>
      </w:r>
      <w:r w:rsidRPr="0000324D">
        <w:t xml:space="preserve"> </w:t>
      </w:r>
      <w:r>
        <w:t xml:space="preserve"> </w:t>
      </w:r>
    </w:p>
    <w:p w:rsidR="006B4930" w:rsidRDefault="00687F77" w:rsidP="006B4930">
      <w:pPr>
        <w:ind w:firstLine="720"/>
        <w:jc w:val="both"/>
      </w:pPr>
      <w:r>
        <w:t xml:space="preserve"> 5.1. </w:t>
      </w:r>
      <w:r w:rsidRPr="0000324D">
        <w:t xml:space="preserve">pretendentu </w:t>
      </w:r>
      <w:r w:rsidRPr="000B7CE7">
        <w:t>SIA “Kabuleti Fruit”, SIA “BAJARDS”,  SIA “VALKS”, Z/s  “Sietiņi”, SIA “FUTURUS FOOD”, A/S “P</w:t>
      </w:r>
      <w:r w:rsidR="006A113D">
        <w:t xml:space="preserve">reiļu siers”, A/S “Premia FFL” </w:t>
      </w:r>
      <w:r w:rsidRPr="000B7CE7">
        <w:t>un  SIA “Vecā maiznīca”</w:t>
      </w:r>
      <w:r>
        <w:t xml:space="preserve"> </w:t>
      </w:r>
      <w:r w:rsidRPr="0000324D">
        <w:t xml:space="preserve">iesniegtie finanšu </w:t>
      </w:r>
      <w:r w:rsidR="00941A99">
        <w:t>piedāvājumi atbilst atklāta</w:t>
      </w:r>
      <w:r w:rsidRPr="0000324D">
        <w:t xml:space="preserve"> konkursa nolikuma prasībām un piedāvājumos nav aritmētisku kļūdu</w:t>
      </w:r>
      <w:r w:rsidR="00941A99">
        <w:t>;</w:t>
      </w:r>
      <w:r w:rsidR="006B4930" w:rsidRPr="006B4930">
        <w:t xml:space="preserve"> </w:t>
      </w:r>
    </w:p>
    <w:p w:rsidR="006B4930" w:rsidRPr="006A113D" w:rsidRDefault="006B4930" w:rsidP="006B4930">
      <w:pPr>
        <w:ind w:firstLine="720"/>
        <w:jc w:val="both"/>
      </w:pPr>
      <w:r w:rsidRPr="006A113D">
        <w:t>5.2. Vērtējot SIA “FOREVERS” finanšu piedāvājumu, iepirkuma komisija ņem vērā iepriekš veiktos labojumus Tehniskajā piedāvājumā un veic labojumus aprēķinot  21 % PVN EUR un Summa kopā EUR – 13875,60 EUR + PVN 21% 2913,88 = 16789,48 EUR.  Labojumi tiek veikti saskaņā ar Atklāta konkursa nolikuma 4.daļas punktu 4.3.  - ja iepirkuma komisija konstatē aritmētiskās kļūdas, tā šīs kļūdas izlabo un par kļūdu labojumu un laboto piedāvājuma summu iepirkuma komisija paziņo pretendentam SIA “FOREVERS”.</w:t>
      </w:r>
    </w:p>
    <w:p w:rsidR="00687F77" w:rsidRDefault="00E66D21" w:rsidP="00687F77">
      <w:pPr>
        <w:ind w:firstLine="720"/>
        <w:jc w:val="both"/>
      </w:pPr>
      <w:r w:rsidRPr="006A113D">
        <w:t>5.</w:t>
      </w:r>
      <w:r w:rsidR="006A113D" w:rsidRPr="006A113D">
        <w:t>3</w:t>
      </w:r>
      <w:r w:rsidR="00941A99" w:rsidRPr="006A113D">
        <w:t>. k</w:t>
      </w:r>
      <w:r w:rsidR="00687F77" w:rsidRPr="006A113D">
        <w:t xml:space="preserve">omisija nolemj turpināt darbu, izveidojot pretendentu SIA “Kabuleti Fruit”, SIA </w:t>
      </w:r>
      <w:r w:rsidR="00687F77" w:rsidRPr="001716B9">
        <w:t>“BAJARDS”,  SIA “VALKS”, Z/s  “Sietiņi”, SIA “FUTURUS FOOD”, A/S “Preiļu siers”, A/S “Premia FFL”, SIA “FOREVERS” un  SIA “Vecā maiznīca”</w:t>
      </w:r>
      <w:r w:rsidR="00687F77">
        <w:t xml:space="preserve"> </w:t>
      </w:r>
      <w:r w:rsidR="00687F77" w:rsidRPr="001716B9">
        <w:t>Nolikuma prasībām</w:t>
      </w:r>
      <w:r w:rsidR="00687F77">
        <w:t xml:space="preserve"> atbilstošo piedāvājumu sarakstu.</w:t>
      </w:r>
    </w:p>
    <w:p w:rsidR="00687F77" w:rsidRDefault="00687F77" w:rsidP="00687F77">
      <w:pPr>
        <w:ind w:firstLine="720"/>
        <w:jc w:val="both"/>
      </w:pPr>
    </w:p>
    <w:p w:rsidR="00941A99" w:rsidRDefault="00687F77" w:rsidP="00687F77">
      <w:pPr>
        <w:ind w:firstLine="720"/>
        <w:jc w:val="center"/>
        <w:rPr>
          <w:b/>
        </w:rPr>
      </w:pPr>
      <w:r w:rsidRPr="0000324D">
        <w:rPr>
          <w:b/>
        </w:rPr>
        <w:t xml:space="preserve">6. </w:t>
      </w:r>
    </w:p>
    <w:p w:rsidR="00687F77" w:rsidRDefault="00687F77" w:rsidP="00687F77">
      <w:pPr>
        <w:ind w:firstLine="720"/>
        <w:jc w:val="center"/>
      </w:pPr>
      <w:r w:rsidRPr="0000324D">
        <w:rPr>
          <w:b/>
        </w:rPr>
        <w:t>Nolikuma prasībām atbilstošo piedāvājumu saraksta izveidošana</w:t>
      </w:r>
      <w:r w:rsidRPr="000B7CE7">
        <w:t xml:space="preserve"> </w:t>
      </w:r>
    </w:p>
    <w:p w:rsidR="00687F77" w:rsidRDefault="00687F77" w:rsidP="00687F77">
      <w:pPr>
        <w:ind w:firstLine="720"/>
        <w:jc w:val="center"/>
      </w:pPr>
    </w:p>
    <w:p w:rsidR="00687F77" w:rsidRPr="00941A99" w:rsidRDefault="00687F77" w:rsidP="00941A99">
      <w:pPr>
        <w:ind w:firstLine="720"/>
        <w:jc w:val="both"/>
      </w:pPr>
      <w:r w:rsidRPr="0000324D">
        <w:t>Iepirkuma komisija, izveido nolikuma prasībām un Tehniskajai specifikācijai atbilstošo piedāvājumu sarakstu</w:t>
      </w:r>
      <w:r>
        <w:t xml:space="preserve"> pa daļām</w:t>
      </w:r>
      <w:r w:rsidRPr="0000324D">
        <w:t>, norādot piedāvājuma cenas EUR bez PVN:</w:t>
      </w:r>
    </w:p>
    <w:tbl>
      <w:tblPr>
        <w:tblpPr w:leftFromText="180" w:rightFromText="180" w:vertAnchor="text" w:tblpXSpec="center" w:tblpY="1"/>
        <w:tblOverlap w:val="neve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4"/>
        <w:gridCol w:w="3261"/>
        <w:gridCol w:w="3821"/>
      </w:tblGrid>
      <w:tr w:rsidR="00687F77" w:rsidRPr="00360524" w:rsidTr="00F00313">
        <w:trPr>
          <w:trHeight w:val="842"/>
          <w:jc w:val="center"/>
        </w:trPr>
        <w:tc>
          <w:tcPr>
            <w:tcW w:w="708" w:type="dxa"/>
            <w:shd w:val="clear" w:color="auto" w:fill="auto"/>
            <w:vAlign w:val="center"/>
          </w:tcPr>
          <w:p w:rsidR="00687F77" w:rsidRPr="00360524" w:rsidRDefault="00687F77" w:rsidP="00F00313">
            <w:pPr>
              <w:jc w:val="center"/>
            </w:pPr>
            <w:r w:rsidRPr="00360524">
              <w:lastRenderedPageBreak/>
              <w:t>Nr. p.k.</w:t>
            </w:r>
          </w:p>
        </w:tc>
        <w:tc>
          <w:tcPr>
            <w:tcW w:w="1134" w:type="dxa"/>
            <w:vAlign w:val="center"/>
          </w:tcPr>
          <w:p w:rsidR="00687F77" w:rsidRPr="00360524" w:rsidRDefault="00687F77" w:rsidP="00F00313">
            <w:pPr>
              <w:jc w:val="center"/>
            </w:pPr>
            <w:r>
              <w:t>Daļas nr.</w:t>
            </w:r>
          </w:p>
        </w:tc>
        <w:tc>
          <w:tcPr>
            <w:tcW w:w="3261" w:type="dxa"/>
            <w:shd w:val="clear" w:color="auto" w:fill="auto"/>
            <w:vAlign w:val="center"/>
          </w:tcPr>
          <w:p w:rsidR="00687F77" w:rsidRPr="00360524" w:rsidRDefault="00687F77" w:rsidP="00F00313">
            <w:pPr>
              <w:jc w:val="center"/>
            </w:pPr>
            <w:r w:rsidRPr="00360524">
              <w:t>Pretendents</w:t>
            </w:r>
          </w:p>
        </w:tc>
        <w:tc>
          <w:tcPr>
            <w:tcW w:w="3821" w:type="dxa"/>
            <w:shd w:val="clear" w:color="auto" w:fill="auto"/>
            <w:vAlign w:val="center"/>
          </w:tcPr>
          <w:p w:rsidR="00687F77" w:rsidRPr="00360524" w:rsidRDefault="00687F77" w:rsidP="00F00313">
            <w:pPr>
              <w:jc w:val="center"/>
            </w:pPr>
            <w:r w:rsidRPr="00360524">
              <w:t>Piedāvājuma summa EUR bez PVN</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vAlign w:val="center"/>
          </w:tcPr>
          <w:p w:rsidR="00687F77" w:rsidRDefault="00687F77" w:rsidP="00F00313">
            <w:pPr>
              <w:jc w:val="center"/>
            </w:pPr>
            <w:r>
              <w:t>1.</w:t>
            </w:r>
          </w:p>
        </w:tc>
        <w:tc>
          <w:tcPr>
            <w:tcW w:w="3261" w:type="dxa"/>
            <w:shd w:val="clear" w:color="auto" w:fill="auto"/>
            <w:vAlign w:val="center"/>
          </w:tcPr>
          <w:p w:rsidR="00687F77" w:rsidRPr="00360524" w:rsidRDefault="00687F77" w:rsidP="00F00313">
            <w:r>
              <w:t>A/S “Preiļu siers”</w:t>
            </w:r>
          </w:p>
        </w:tc>
        <w:tc>
          <w:tcPr>
            <w:tcW w:w="3821" w:type="dxa"/>
            <w:shd w:val="clear" w:color="auto" w:fill="auto"/>
            <w:vAlign w:val="center"/>
          </w:tcPr>
          <w:p w:rsidR="00687F77" w:rsidRPr="00360524" w:rsidRDefault="00687F77" w:rsidP="00F00313">
            <w:pPr>
              <w:jc w:val="center"/>
            </w:pPr>
            <w:r>
              <w:t>28318,00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Pr="00360524" w:rsidRDefault="00687F77" w:rsidP="00F00313">
            <w:pPr>
              <w:jc w:val="center"/>
            </w:pPr>
            <w:r>
              <w:t>1.</w:t>
            </w:r>
          </w:p>
        </w:tc>
        <w:tc>
          <w:tcPr>
            <w:tcW w:w="3261" w:type="dxa"/>
            <w:shd w:val="clear" w:color="auto" w:fill="auto"/>
          </w:tcPr>
          <w:p w:rsidR="00687F77" w:rsidRPr="00EF6B8E" w:rsidRDefault="00687F77" w:rsidP="00F00313">
            <w:r>
              <w:t>SIA “VALKS”</w:t>
            </w:r>
          </w:p>
        </w:tc>
        <w:tc>
          <w:tcPr>
            <w:tcW w:w="3821" w:type="dxa"/>
            <w:shd w:val="clear" w:color="auto" w:fill="auto"/>
          </w:tcPr>
          <w:p w:rsidR="00687F77" w:rsidRPr="00EF6B8E" w:rsidRDefault="00687F77" w:rsidP="00F00313">
            <w:pPr>
              <w:jc w:val="center"/>
            </w:pPr>
            <w:r>
              <w:t>30 354,00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Pr="00360524" w:rsidRDefault="00687F77" w:rsidP="00F00313">
            <w:pPr>
              <w:jc w:val="center"/>
            </w:pPr>
            <w:r>
              <w:t>2.</w:t>
            </w:r>
          </w:p>
        </w:tc>
        <w:tc>
          <w:tcPr>
            <w:tcW w:w="3261" w:type="dxa"/>
            <w:shd w:val="clear" w:color="auto" w:fill="auto"/>
          </w:tcPr>
          <w:p w:rsidR="00687F77" w:rsidRPr="00360524" w:rsidRDefault="00687F77" w:rsidP="00F00313">
            <w:r>
              <w:t>SIA “BAJARDS”</w:t>
            </w:r>
          </w:p>
        </w:tc>
        <w:tc>
          <w:tcPr>
            <w:tcW w:w="3821" w:type="dxa"/>
            <w:shd w:val="clear" w:color="auto" w:fill="auto"/>
          </w:tcPr>
          <w:p w:rsidR="00687F77" w:rsidRPr="00360524" w:rsidRDefault="00687F77" w:rsidP="00F00313">
            <w:pPr>
              <w:jc w:val="center"/>
            </w:pPr>
            <w:r>
              <w:t>24559,50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Pr="00360524" w:rsidRDefault="00687F77" w:rsidP="00F00313">
            <w:pPr>
              <w:jc w:val="center"/>
            </w:pPr>
            <w:r>
              <w:t>2.</w:t>
            </w:r>
          </w:p>
        </w:tc>
        <w:tc>
          <w:tcPr>
            <w:tcW w:w="3261" w:type="dxa"/>
            <w:shd w:val="clear" w:color="auto" w:fill="auto"/>
          </w:tcPr>
          <w:p w:rsidR="00687F77" w:rsidRPr="00360524" w:rsidRDefault="00687F77" w:rsidP="00F00313">
            <w:r>
              <w:t>Z/s  “Sietiņi”</w:t>
            </w:r>
          </w:p>
        </w:tc>
        <w:tc>
          <w:tcPr>
            <w:tcW w:w="3821" w:type="dxa"/>
            <w:shd w:val="clear" w:color="auto" w:fill="auto"/>
          </w:tcPr>
          <w:p w:rsidR="00687F77" w:rsidRPr="00360524" w:rsidRDefault="00687F77" w:rsidP="00F00313">
            <w:pPr>
              <w:jc w:val="center"/>
            </w:pPr>
            <w:r>
              <w:t>24920,00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Pr="00360524" w:rsidRDefault="00687F77" w:rsidP="00F00313">
            <w:pPr>
              <w:jc w:val="center"/>
            </w:pPr>
            <w:r>
              <w:t>3.</w:t>
            </w:r>
          </w:p>
        </w:tc>
        <w:tc>
          <w:tcPr>
            <w:tcW w:w="3261" w:type="dxa"/>
            <w:shd w:val="clear" w:color="auto" w:fill="auto"/>
          </w:tcPr>
          <w:p w:rsidR="00687F77" w:rsidRPr="00B120B2" w:rsidRDefault="00687F77" w:rsidP="00F00313">
            <w:r w:rsidRPr="00B120B2">
              <w:t>SIA “FUTURUS FOOD”</w:t>
            </w:r>
          </w:p>
        </w:tc>
        <w:tc>
          <w:tcPr>
            <w:tcW w:w="3821" w:type="dxa"/>
            <w:shd w:val="clear" w:color="auto" w:fill="auto"/>
          </w:tcPr>
          <w:p w:rsidR="00687F77" w:rsidRPr="00B120B2" w:rsidRDefault="00687F77" w:rsidP="00F00313">
            <w:pPr>
              <w:jc w:val="center"/>
            </w:pPr>
            <w:r w:rsidRPr="00B120B2">
              <w:t>22 580,73</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Pr="00360524" w:rsidRDefault="00687F77" w:rsidP="00F00313">
            <w:pPr>
              <w:jc w:val="center"/>
            </w:pPr>
            <w:r>
              <w:t>4.</w:t>
            </w:r>
          </w:p>
        </w:tc>
        <w:tc>
          <w:tcPr>
            <w:tcW w:w="3261" w:type="dxa"/>
            <w:shd w:val="clear" w:color="auto" w:fill="auto"/>
          </w:tcPr>
          <w:p w:rsidR="00687F77" w:rsidRPr="00B120B2" w:rsidRDefault="00687F77" w:rsidP="00F00313">
            <w:r w:rsidRPr="00B120B2">
              <w:t>SIA “Vecā maiznīca”</w:t>
            </w:r>
          </w:p>
        </w:tc>
        <w:tc>
          <w:tcPr>
            <w:tcW w:w="3821" w:type="dxa"/>
            <w:shd w:val="clear" w:color="auto" w:fill="auto"/>
          </w:tcPr>
          <w:p w:rsidR="00687F77" w:rsidRPr="00B120B2" w:rsidRDefault="00687F77" w:rsidP="00F00313">
            <w:pPr>
              <w:jc w:val="center"/>
            </w:pPr>
            <w:r w:rsidRPr="00B120B2">
              <w:t>15 221,50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Default="00687F77" w:rsidP="00F00313">
            <w:pPr>
              <w:jc w:val="center"/>
            </w:pPr>
            <w:r>
              <w:t>5.</w:t>
            </w:r>
          </w:p>
        </w:tc>
        <w:tc>
          <w:tcPr>
            <w:tcW w:w="3261" w:type="dxa"/>
            <w:shd w:val="clear" w:color="auto" w:fill="auto"/>
          </w:tcPr>
          <w:p w:rsidR="00687F77" w:rsidRPr="00B120B2" w:rsidRDefault="00687F77" w:rsidP="00F00313">
            <w:r w:rsidRPr="00B120B2">
              <w:t>SIA “FOREVERS”</w:t>
            </w:r>
          </w:p>
        </w:tc>
        <w:tc>
          <w:tcPr>
            <w:tcW w:w="3821" w:type="dxa"/>
            <w:shd w:val="clear" w:color="auto" w:fill="auto"/>
          </w:tcPr>
          <w:p w:rsidR="00687F77" w:rsidRPr="00B120B2" w:rsidRDefault="00687F77" w:rsidP="006A113D">
            <w:pPr>
              <w:jc w:val="center"/>
            </w:pPr>
            <w:r w:rsidRPr="006A113D">
              <w:t>13 </w:t>
            </w:r>
            <w:r w:rsidR="006B4930" w:rsidRPr="006A113D">
              <w:t>8</w:t>
            </w:r>
            <w:r w:rsidRPr="006A113D">
              <w:t>75,60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Pr="00360524" w:rsidRDefault="00687F77" w:rsidP="00F00313">
            <w:pPr>
              <w:jc w:val="center"/>
            </w:pPr>
            <w:r>
              <w:t>6.</w:t>
            </w:r>
          </w:p>
        </w:tc>
        <w:tc>
          <w:tcPr>
            <w:tcW w:w="3261" w:type="dxa"/>
            <w:shd w:val="clear" w:color="auto" w:fill="auto"/>
          </w:tcPr>
          <w:p w:rsidR="00687F77" w:rsidRPr="00360524" w:rsidRDefault="00687F77" w:rsidP="00F00313">
            <w:r>
              <w:t>SIA “Kabuleti Fruit”</w:t>
            </w:r>
          </w:p>
        </w:tc>
        <w:tc>
          <w:tcPr>
            <w:tcW w:w="3821" w:type="dxa"/>
            <w:shd w:val="clear" w:color="auto" w:fill="auto"/>
          </w:tcPr>
          <w:p w:rsidR="00687F77" w:rsidRPr="00360524" w:rsidRDefault="00687F77" w:rsidP="00F00313">
            <w:pPr>
              <w:jc w:val="center"/>
            </w:pPr>
            <w:r w:rsidRPr="00B120B2">
              <w:t>10 780,10</w:t>
            </w:r>
          </w:p>
        </w:tc>
      </w:tr>
      <w:tr w:rsidR="00687F77" w:rsidRPr="00360524" w:rsidTr="00F00313">
        <w:trPr>
          <w:trHeight w:val="284"/>
          <w:jc w:val="center"/>
        </w:trPr>
        <w:tc>
          <w:tcPr>
            <w:tcW w:w="708" w:type="dxa"/>
            <w:shd w:val="clear" w:color="auto" w:fill="auto"/>
          </w:tcPr>
          <w:p w:rsidR="00687F77" w:rsidRPr="001A2025" w:rsidRDefault="00687F77" w:rsidP="00687F77">
            <w:pPr>
              <w:numPr>
                <w:ilvl w:val="0"/>
                <w:numId w:val="6"/>
              </w:numPr>
              <w:jc w:val="center"/>
            </w:pPr>
          </w:p>
        </w:tc>
        <w:tc>
          <w:tcPr>
            <w:tcW w:w="1134" w:type="dxa"/>
          </w:tcPr>
          <w:p w:rsidR="00687F77" w:rsidRDefault="00687F77" w:rsidP="00F00313">
            <w:pPr>
              <w:jc w:val="center"/>
            </w:pPr>
            <w:r>
              <w:t>6.</w:t>
            </w:r>
          </w:p>
        </w:tc>
        <w:tc>
          <w:tcPr>
            <w:tcW w:w="3261" w:type="dxa"/>
            <w:shd w:val="clear" w:color="auto" w:fill="auto"/>
          </w:tcPr>
          <w:p w:rsidR="00687F77" w:rsidRDefault="00687F77" w:rsidP="00F00313">
            <w:r>
              <w:t>A/S “Premia FFL”</w:t>
            </w:r>
          </w:p>
        </w:tc>
        <w:tc>
          <w:tcPr>
            <w:tcW w:w="3821" w:type="dxa"/>
            <w:shd w:val="clear" w:color="auto" w:fill="auto"/>
          </w:tcPr>
          <w:p w:rsidR="00687F77" w:rsidRPr="00EF6B8E" w:rsidRDefault="00687F77" w:rsidP="00F00313">
            <w:pPr>
              <w:jc w:val="center"/>
            </w:pPr>
            <w:r>
              <w:t>15 742,70</w:t>
            </w:r>
          </w:p>
        </w:tc>
      </w:tr>
    </w:tbl>
    <w:p w:rsidR="00687F77" w:rsidRDefault="00687F77" w:rsidP="00687F77">
      <w:pPr>
        <w:ind w:firstLine="720"/>
        <w:jc w:val="center"/>
        <w:rPr>
          <w:b/>
        </w:rPr>
      </w:pPr>
    </w:p>
    <w:p w:rsidR="00941A99" w:rsidRDefault="00941A99" w:rsidP="00687F77">
      <w:pPr>
        <w:ind w:firstLine="720"/>
        <w:jc w:val="center"/>
        <w:rPr>
          <w:b/>
        </w:rPr>
      </w:pPr>
      <w:r>
        <w:rPr>
          <w:b/>
        </w:rPr>
        <w:t xml:space="preserve">7. </w:t>
      </w:r>
    </w:p>
    <w:p w:rsidR="00687F77" w:rsidRDefault="00941A99" w:rsidP="00687F77">
      <w:pPr>
        <w:ind w:firstLine="720"/>
        <w:jc w:val="center"/>
        <w:rPr>
          <w:b/>
        </w:rPr>
      </w:pPr>
      <w:r>
        <w:rPr>
          <w:b/>
        </w:rPr>
        <w:t>Pretendentu noteikšana,</w:t>
      </w:r>
      <w:r w:rsidR="00687F77" w:rsidRPr="0000324D">
        <w:rPr>
          <w:b/>
        </w:rPr>
        <w:t xml:space="preserve"> kuriem būtu piešķiramas līgum</w:t>
      </w:r>
      <w:r>
        <w:rPr>
          <w:b/>
        </w:rPr>
        <w:t>a slēgšanas tiesības</w:t>
      </w:r>
    </w:p>
    <w:p w:rsidR="00687F77" w:rsidRDefault="00687F77" w:rsidP="00687F77">
      <w:pPr>
        <w:ind w:firstLine="720"/>
        <w:jc w:val="center"/>
        <w:rPr>
          <w:b/>
        </w:rPr>
      </w:pPr>
    </w:p>
    <w:p w:rsidR="00941A99" w:rsidRDefault="00687F77" w:rsidP="00687F77">
      <w:pPr>
        <w:ind w:firstLine="720"/>
        <w:jc w:val="both"/>
      </w:pPr>
      <w:r w:rsidRPr="00F520B1">
        <w:t>7.1.</w:t>
      </w:r>
      <w:r>
        <w:t xml:space="preserve"> Izvērtējot nolikumā izvirzītās kvalifikācijas prasības, iepirkuma komisija uzskata, ka tās ir objektīvas un samērīgas un neierobežo potenciālo pretendentu loku, kas spēj nodrošināt tehniskajās specifikācijās norādīto produkti piegādi. Iepirkuma komisija norāda, ka iespēja nodrošināt iepirkumā paredzēto produktu piegādi, ņemot vērā iepirkuma specifiku un izvirzītās kvalifikācijas prasības, atklātā konkursā tika nodrošināta vairākiem piegādātājiem, ko pierāda fakts, ka konkursa 3.un 5.daļā tika iesniegti vairāki piedāvājumi, bet saskaņā ar protokola 1.2. punktu atstāti bez izskatīšanas</w:t>
      </w:r>
      <w:r w:rsidRPr="00B07EA0">
        <w:t>, kā arī fakts, ka</w:t>
      </w:r>
      <w:r>
        <w:t xml:space="preserve"> Publisko iepirkumu likuma 68.pantā noteiktajā kārtībā netika iesniegts iesniegums par atklāta konkursa dokumentos ietvertajām prasībām Iepirkumu uzraudzības birojā. Komisija norāda, ka ievērojot Publisko iepirkumu likuma 2.pantā noteiktos mērķus, pasūtītājam jebkurā iepirkuma procedūrā vienlaikus ir jānodrošina konkurence piegādātāju starpā, kā arī valsts un pašvaldības līdzekļu efektīva izmantošana un pasūtītāja riska samazināšana. Attiecīgi, lai samazinātu pasūtītāja risku un nodrošinātu konkurenci piegādātāju starpā, kā arī lai nodrošinātu pārtikas produktu piegādi plānotajā termiņā, prasības iespējamajiem pretendentiem ir jāizvirza, lai nodrošinātu, ka iepirkuma procedūras rezultātā līgums tiek noslēgts ar tādu piegādātāju, kuram ir pietiekamas tehniskās spējas, kā arī pieredze pārtikas produktu piegādē. Tajā pašā laikā pasūtītāja pienākums ir izvirzīt objektīvas kvalifikācijas prasības. </w:t>
      </w:r>
    </w:p>
    <w:p w:rsidR="00687F77" w:rsidRPr="00F520B1" w:rsidRDefault="00687F77" w:rsidP="00687F77">
      <w:pPr>
        <w:ind w:firstLine="720"/>
        <w:jc w:val="both"/>
      </w:pPr>
      <w:r>
        <w:t>Ņemot vērā iepriekš minēto, iepirkuma komisija secina, ka atklāta konkursa nolikumā noteiktās prasības ir objektīvas un samērīgas, līdz ar to atklāts konkurss iepirkuma priekšmeta 3.daļā, 4.daļā un 5.daļā nav jāpārtrauc.</w:t>
      </w:r>
    </w:p>
    <w:p w:rsidR="00687F77" w:rsidRDefault="00687F77" w:rsidP="00687F77">
      <w:pPr>
        <w:ind w:left="142" w:firstLine="720"/>
        <w:jc w:val="both"/>
      </w:pPr>
      <w:r>
        <w:t>7.2</w:t>
      </w:r>
      <w:r w:rsidRPr="00F520B1">
        <w:t>. Komisija, ņemot vērā, ka pretendenti 3.daļā “Fasēti pārtikas produkti” SIA “FUTURUS FOOD”, 4.daļā “Maize un maizes izstrādājumi” SIA “Vecā maiznīca”, 5.daļā “Gaļas izstrādājumi” SIA “FOREVERS” ir vienīgie, kas iesnieguši piedāvājumus katrs savā atsevišķā daļā un tie atbilst visām izvirzītajām prasībām, izveido nolikuma prasībām atbilstošo piedāvājumu sarakstu pa daļām, neveicot atklātā konkursā noteikto saimnieciski visizdevīgākā piedāvājuma aprēķinu, bet norādot piedāvājuma cenas EUR bez PVN.</w:t>
      </w:r>
    </w:p>
    <w:p w:rsidR="00941A99" w:rsidRPr="00F520B1" w:rsidRDefault="00941A99" w:rsidP="00687F77">
      <w:pPr>
        <w:ind w:left="142" w:firstLine="720"/>
        <w:jc w:val="both"/>
      </w:pPr>
    </w:p>
    <w:tbl>
      <w:tblPr>
        <w:tblpPr w:leftFromText="180" w:rightFromText="180" w:vertAnchor="text" w:tblpXSpec="center" w:tblpY="1"/>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7"/>
        <w:gridCol w:w="3113"/>
        <w:gridCol w:w="3828"/>
      </w:tblGrid>
      <w:tr w:rsidR="00687F77" w:rsidRPr="00360524" w:rsidTr="00F00313">
        <w:trPr>
          <w:trHeight w:val="842"/>
          <w:jc w:val="center"/>
        </w:trPr>
        <w:tc>
          <w:tcPr>
            <w:tcW w:w="1134" w:type="dxa"/>
            <w:shd w:val="clear" w:color="auto" w:fill="auto"/>
            <w:vAlign w:val="center"/>
          </w:tcPr>
          <w:p w:rsidR="00687F77" w:rsidRPr="00360524" w:rsidRDefault="00687F77" w:rsidP="00F00313">
            <w:pPr>
              <w:jc w:val="center"/>
            </w:pPr>
            <w:r w:rsidRPr="00360524">
              <w:t>Nr. p.k.</w:t>
            </w:r>
          </w:p>
        </w:tc>
        <w:tc>
          <w:tcPr>
            <w:tcW w:w="997" w:type="dxa"/>
            <w:vAlign w:val="center"/>
          </w:tcPr>
          <w:p w:rsidR="00687F77" w:rsidRPr="00360524" w:rsidRDefault="00687F77" w:rsidP="00F00313">
            <w:pPr>
              <w:jc w:val="center"/>
            </w:pPr>
            <w:r>
              <w:t>Daļas nr.</w:t>
            </w:r>
          </w:p>
        </w:tc>
        <w:tc>
          <w:tcPr>
            <w:tcW w:w="3113" w:type="dxa"/>
            <w:shd w:val="clear" w:color="auto" w:fill="auto"/>
            <w:vAlign w:val="center"/>
          </w:tcPr>
          <w:p w:rsidR="00687F77" w:rsidRPr="00360524" w:rsidRDefault="00687F77" w:rsidP="00F00313">
            <w:pPr>
              <w:jc w:val="center"/>
            </w:pPr>
            <w:r w:rsidRPr="00360524">
              <w:t>Pretendents</w:t>
            </w:r>
          </w:p>
        </w:tc>
        <w:tc>
          <w:tcPr>
            <w:tcW w:w="3828" w:type="dxa"/>
            <w:shd w:val="clear" w:color="auto" w:fill="auto"/>
            <w:vAlign w:val="center"/>
          </w:tcPr>
          <w:p w:rsidR="00687F77" w:rsidRPr="00360524" w:rsidRDefault="00687F77" w:rsidP="00F00313">
            <w:pPr>
              <w:jc w:val="center"/>
            </w:pPr>
            <w:r w:rsidRPr="00360524">
              <w:t>Piedāvājuma summa EUR bez PVN</w:t>
            </w:r>
          </w:p>
        </w:tc>
      </w:tr>
      <w:tr w:rsidR="00687F77" w:rsidRPr="00B120B2" w:rsidTr="00F00313">
        <w:trPr>
          <w:trHeight w:val="284"/>
          <w:jc w:val="center"/>
        </w:trPr>
        <w:tc>
          <w:tcPr>
            <w:tcW w:w="1134" w:type="dxa"/>
            <w:shd w:val="clear" w:color="auto" w:fill="auto"/>
          </w:tcPr>
          <w:p w:rsidR="00687F77" w:rsidRPr="001A2025" w:rsidRDefault="00687F77" w:rsidP="00687F77">
            <w:pPr>
              <w:numPr>
                <w:ilvl w:val="0"/>
                <w:numId w:val="8"/>
              </w:numPr>
              <w:jc w:val="center"/>
            </w:pPr>
          </w:p>
        </w:tc>
        <w:tc>
          <w:tcPr>
            <w:tcW w:w="997" w:type="dxa"/>
          </w:tcPr>
          <w:p w:rsidR="00687F77" w:rsidRPr="00360524" w:rsidRDefault="00687F77" w:rsidP="00F00313">
            <w:pPr>
              <w:jc w:val="center"/>
            </w:pPr>
            <w:r>
              <w:t>3.</w:t>
            </w:r>
          </w:p>
        </w:tc>
        <w:tc>
          <w:tcPr>
            <w:tcW w:w="3113" w:type="dxa"/>
            <w:shd w:val="clear" w:color="auto" w:fill="auto"/>
          </w:tcPr>
          <w:p w:rsidR="00687F77" w:rsidRPr="00B120B2" w:rsidRDefault="00687F77" w:rsidP="00F00313">
            <w:r w:rsidRPr="00B120B2">
              <w:t>SIA “FUTURUS FOOD”</w:t>
            </w:r>
          </w:p>
        </w:tc>
        <w:tc>
          <w:tcPr>
            <w:tcW w:w="3828" w:type="dxa"/>
            <w:shd w:val="clear" w:color="auto" w:fill="auto"/>
          </w:tcPr>
          <w:p w:rsidR="00687F77" w:rsidRPr="00B120B2" w:rsidRDefault="00687F77" w:rsidP="00F00313">
            <w:pPr>
              <w:jc w:val="center"/>
            </w:pPr>
            <w:r w:rsidRPr="00B120B2">
              <w:t>22 580,73</w:t>
            </w:r>
          </w:p>
        </w:tc>
      </w:tr>
      <w:tr w:rsidR="00687F77" w:rsidRPr="00B120B2" w:rsidTr="00F00313">
        <w:trPr>
          <w:trHeight w:val="284"/>
          <w:jc w:val="center"/>
        </w:trPr>
        <w:tc>
          <w:tcPr>
            <w:tcW w:w="1134" w:type="dxa"/>
            <w:shd w:val="clear" w:color="auto" w:fill="auto"/>
          </w:tcPr>
          <w:p w:rsidR="00687F77" w:rsidRPr="001A2025" w:rsidRDefault="00687F77" w:rsidP="00687F77">
            <w:pPr>
              <w:numPr>
                <w:ilvl w:val="0"/>
                <w:numId w:val="8"/>
              </w:numPr>
              <w:jc w:val="center"/>
            </w:pPr>
          </w:p>
        </w:tc>
        <w:tc>
          <w:tcPr>
            <w:tcW w:w="997" w:type="dxa"/>
          </w:tcPr>
          <w:p w:rsidR="00687F77" w:rsidRPr="00360524" w:rsidRDefault="00687F77" w:rsidP="00F00313">
            <w:pPr>
              <w:jc w:val="center"/>
            </w:pPr>
            <w:r>
              <w:t>4.</w:t>
            </w:r>
          </w:p>
        </w:tc>
        <w:tc>
          <w:tcPr>
            <w:tcW w:w="3113" w:type="dxa"/>
            <w:shd w:val="clear" w:color="auto" w:fill="auto"/>
          </w:tcPr>
          <w:p w:rsidR="00687F77" w:rsidRPr="00B120B2" w:rsidRDefault="00687F77" w:rsidP="00F00313">
            <w:r w:rsidRPr="00B120B2">
              <w:t>SIA “Vecā maiznīca”</w:t>
            </w:r>
          </w:p>
        </w:tc>
        <w:tc>
          <w:tcPr>
            <w:tcW w:w="3828" w:type="dxa"/>
            <w:shd w:val="clear" w:color="auto" w:fill="auto"/>
          </w:tcPr>
          <w:p w:rsidR="00687F77" w:rsidRPr="00B120B2" w:rsidRDefault="00687F77" w:rsidP="00F00313">
            <w:pPr>
              <w:jc w:val="center"/>
            </w:pPr>
            <w:r w:rsidRPr="00B120B2">
              <w:t>15 221,50</w:t>
            </w:r>
          </w:p>
        </w:tc>
      </w:tr>
      <w:tr w:rsidR="00687F77" w:rsidRPr="00B120B2" w:rsidTr="00F00313">
        <w:trPr>
          <w:trHeight w:val="284"/>
          <w:jc w:val="center"/>
        </w:trPr>
        <w:tc>
          <w:tcPr>
            <w:tcW w:w="1134" w:type="dxa"/>
            <w:shd w:val="clear" w:color="auto" w:fill="auto"/>
          </w:tcPr>
          <w:p w:rsidR="00687F77" w:rsidRPr="001A2025" w:rsidRDefault="00687F77" w:rsidP="00687F77">
            <w:pPr>
              <w:numPr>
                <w:ilvl w:val="0"/>
                <w:numId w:val="8"/>
              </w:numPr>
              <w:jc w:val="center"/>
            </w:pPr>
          </w:p>
        </w:tc>
        <w:tc>
          <w:tcPr>
            <w:tcW w:w="997" w:type="dxa"/>
          </w:tcPr>
          <w:p w:rsidR="00687F77" w:rsidRDefault="00687F77" w:rsidP="00F00313">
            <w:pPr>
              <w:jc w:val="center"/>
            </w:pPr>
            <w:r>
              <w:t>5.</w:t>
            </w:r>
          </w:p>
        </w:tc>
        <w:tc>
          <w:tcPr>
            <w:tcW w:w="3113" w:type="dxa"/>
            <w:shd w:val="clear" w:color="auto" w:fill="auto"/>
          </w:tcPr>
          <w:p w:rsidR="00687F77" w:rsidRPr="00B120B2" w:rsidRDefault="00687F77" w:rsidP="00F00313">
            <w:r w:rsidRPr="00B120B2">
              <w:t>SIA “FOREVERS”</w:t>
            </w:r>
          </w:p>
        </w:tc>
        <w:tc>
          <w:tcPr>
            <w:tcW w:w="3828" w:type="dxa"/>
            <w:shd w:val="clear" w:color="auto" w:fill="auto"/>
          </w:tcPr>
          <w:p w:rsidR="00687F77" w:rsidRPr="00B120B2" w:rsidRDefault="006A113D" w:rsidP="00F00313">
            <w:pPr>
              <w:jc w:val="center"/>
            </w:pPr>
            <w:r w:rsidRPr="006A113D">
              <w:t>13 875,60</w:t>
            </w:r>
          </w:p>
        </w:tc>
      </w:tr>
    </w:tbl>
    <w:p w:rsidR="00687F77" w:rsidRPr="005D581C" w:rsidRDefault="00687F77" w:rsidP="00687F77">
      <w:pPr>
        <w:ind w:left="862"/>
        <w:jc w:val="both"/>
        <w:rPr>
          <w:color w:val="7030A0"/>
        </w:rPr>
      </w:pPr>
    </w:p>
    <w:p w:rsidR="00687F77" w:rsidRDefault="00687F77" w:rsidP="00687F77">
      <w:pPr>
        <w:ind w:firstLine="142"/>
        <w:jc w:val="both"/>
      </w:pPr>
      <w:r w:rsidRPr="00C865D6">
        <w:t xml:space="preserve">          7.3. Komisija atklāti balsojot, </w:t>
      </w:r>
      <w:r w:rsidRPr="0057698B">
        <w:t>PAR- 6 (D.Svētiņa, G.Majore, D.Kļaviņa, A.Ozola, A.Pastars, I.Pabērza) balsis, PRET- (na</w:t>
      </w:r>
      <w:r w:rsidRPr="00C865D6">
        <w:t xml:space="preserve">v) balsis, nosaka, ka līguma slēgšanas tiesības būtu piešķiramas sekojošiem pretendentiem: </w:t>
      </w:r>
      <w:r w:rsidRPr="00C865D6">
        <w:rPr>
          <w:b/>
        </w:rPr>
        <w:t>3.daļa</w:t>
      </w:r>
      <w:r w:rsidRPr="00C865D6">
        <w:t xml:space="preserve"> “Fasēti pārtikas produkti” - SIA “FUTURUS </w:t>
      </w:r>
      <w:r w:rsidR="00941A99">
        <w:lastRenderedPageBreak/>
        <w:t>FOOD” (22</w:t>
      </w:r>
      <w:r w:rsidRPr="006C0556">
        <w:t xml:space="preserve">580,73 EUR bez PVN), </w:t>
      </w:r>
      <w:r w:rsidRPr="006C0556">
        <w:rPr>
          <w:b/>
        </w:rPr>
        <w:t>4.daļa</w:t>
      </w:r>
      <w:r w:rsidRPr="006C0556">
        <w:t xml:space="preserve"> “Maize un maizes izstrādājumi” - SIA “Vecā maiznīca” (15221,50 EUR bez PVN), SIA “FOREVERS”, </w:t>
      </w:r>
      <w:r w:rsidRPr="006C0556">
        <w:rPr>
          <w:b/>
        </w:rPr>
        <w:t>5.daļa</w:t>
      </w:r>
      <w:r w:rsidRPr="006C0556">
        <w:t xml:space="preserve"> “Gaļas izstrādājumi” -  SIA “FOREVERS” (</w:t>
      </w:r>
      <w:r w:rsidR="006A113D" w:rsidRPr="006A113D">
        <w:t>13 875,60</w:t>
      </w:r>
      <w:r w:rsidR="006A113D">
        <w:t xml:space="preserve"> </w:t>
      </w:r>
      <w:r w:rsidRPr="006C0556">
        <w:t>EUR bez PVN).</w:t>
      </w:r>
    </w:p>
    <w:p w:rsidR="00057B07" w:rsidRDefault="00057B07" w:rsidP="00687F77">
      <w:pPr>
        <w:ind w:firstLine="142"/>
        <w:jc w:val="both"/>
      </w:pPr>
    </w:p>
    <w:p w:rsidR="00687F77" w:rsidRPr="00DC7D5A" w:rsidRDefault="00687F77" w:rsidP="00687F77">
      <w:pPr>
        <w:spacing w:before="120" w:after="120" w:line="259" w:lineRule="auto"/>
        <w:ind w:firstLine="839"/>
        <w:jc w:val="both"/>
        <w:rPr>
          <w:rFonts w:eastAsia="Calibri"/>
        </w:rPr>
      </w:pPr>
      <w:r>
        <w:rPr>
          <w:rFonts w:eastAsia="Calibri"/>
        </w:rPr>
        <w:t>7.4.</w:t>
      </w:r>
      <w:r w:rsidRPr="00DC7D5A">
        <w:rPr>
          <w:rFonts w:eastAsia="Calibri"/>
        </w:rPr>
        <w:t xml:space="preserve"> Komisija veica saimnieciski visizdevīgākā piedāvājuma aprēķinu atbilstoši atklātā konkursa nolikuma 4.daļas 4.8. punktā noteiktajiem kritērijiem.</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5081"/>
        <w:gridCol w:w="2819"/>
      </w:tblGrid>
      <w:tr w:rsidR="00687F77" w:rsidRPr="00742EFE" w:rsidTr="00F00313">
        <w:trPr>
          <w:trHeight w:val="606"/>
        </w:trPr>
        <w:tc>
          <w:tcPr>
            <w:tcW w:w="477" w:type="dxa"/>
            <w:tcBorders>
              <w:top w:val="single" w:sz="12" w:space="0" w:color="auto"/>
              <w:left w:val="single" w:sz="12" w:space="0" w:color="auto"/>
              <w:bottom w:val="single" w:sz="12" w:space="0" w:color="auto"/>
              <w:right w:val="single" w:sz="12" w:space="0" w:color="auto"/>
            </w:tcBorders>
            <w:shd w:val="clear" w:color="auto" w:fill="auto"/>
          </w:tcPr>
          <w:p w:rsidR="00687F77" w:rsidRPr="00742EFE" w:rsidRDefault="00687F77" w:rsidP="00F00313">
            <w:pPr>
              <w:spacing w:before="120" w:after="160" w:line="259" w:lineRule="auto"/>
              <w:jc w:val="center"/>
              <w:rPr>
                <w:rFonts w:eastAsia="Calibri"/>
              </w:rPr>
            </w:pPr>
          </w:p>
        </w:tc>
        <w:tc>
          <w:tcPr>
            <w:tcW w:w="5081" w:type="dxa"/>
            <w:tcBorders>
              <w:top w:val="single" w:sz="12" w:space="0" w:color="auto"/>
              <w:left w:val="single" w:sz="12" w:space="0" w:color="auto"/>
              <w:bottom w:val="single" w:sz="12" w:space="0" w:color="auto"/>
              <w:right w:val="single" w:sz="12" w:space="0" w:color="auto"/>
            </w:tcBorders>
            <w:shd w:val="clear" w:color="auto" w:fill="auto"/>
          </w:tcPr>
          <w:p w:rsidR="00687F77" w:rsidRPr="00742EFE" w:rsidRDefault="00687F77" w:rsidP="00F00313">
            <w:pPr>
              <w:spacing w:before="120" w:after="160" w:line="259" w:lineRule="auto"/>
              <w:jc w:val="center"/>
              <w:rPr>
                <w:rFonts w:eastAsia="Calibri"/>
              </w:rPr>
            </w:pPr>
            <w:r w:rsidRPr="00742EFE">
              <w:rPr>
                <w:rFonts w:eastAsia="Calibri"/>
              </w:rPr>
              <w:t>Kritēriji</w:t>
            </w:r>
          </w:p>
        </w:tc>
        <w:tc>
          <w:tcPr>
            <w:tcW w:w="2819" w:type="dxa"/>
            <w:tcBorders>
              <w:top w:val="single" w:sz="12" w:space="0" w:color="auto"/>
              <w:left w:val="single" w:sz="12" w:space="0" w:color="auto"/>
              <w:bottom w:val="single" w:sz="12" w:space="0" w:color="auto"/>
              <w:right w:val="single" w:sz="12" w:space="0" w:color="auto"/>
            </w:tcBorders>
            <w:shd w:val="clear" w:color="auto" w:fill="auto"/>
          </w:tcPr>
          <w:p w:rsidR="00687F77" w:rsidRPr="00742EFE" w:rsidRDefault="00687F77" w:rsidP="00F00313">
            <w:pPr>
              <w:spacing w:before="120" w:after="160" w:line="259" w:lineRule="auto"/>
              <w:jc w:val="center"/>
              <w:rPr>
                <w:rFonts w:eastAsia="Calibri"/>
              </w:rPr>
            </w:pPr>
            <w:r w:rsidRPr="00742EFE">
              <w:rPr>
                <w:rFonts w:eastAsia="Calibri"/>
              </w:rPr>
              <w:t>Maksimālā skaitliskā vērtība</w:t>
            </w:r>
          </w:p>
        </w:tc>
      </w:tr>
      <w:tr w:rsidR="00687F77" w:rsidRPr="00742EFE" w:rsidTr="00F00313">
        <w:tc>
          <w:tcPr>
            <w:tcW w:w="477" w:type="dxa"/>
            <w:tcBorders>
              <w:top w:val="single" w:sz="12" w:space="0" w:color="auto"/>
              <w:left w:val="single" w:sz="12" w:space="0" w:color="auto"/>
              <w:right w:val="single" w:sz="12" w:space="0" w:color="auto"/>
            </w:tcBorders>
            <w:shd w:val="clear" w:color="auto" w:fill="auto"/>
            <w:vAlign w:val="center"/>
          </w:tcPr>
          <w:p w:rsidR="00687F77" w:rsidRPr="00742EFE" w:rsidRDefault="00687F77" w:rsidP="00F00313">
            <w:pPr>
              <w:spacing w:after="160" w:line="259" w:lineRule="auto"/>
              <w:jc w:val="center"/>
              <w:rPr>
                <w:rFonts w:eastAsia="Calibri"/>
              </w:rPr>
            </w:pPr>
            <w:r w:rsidRPr="00742EFE">
              <w:rPr>
                <w:rFonts w:eastAsia="Calibri"/>
              </w:rPr>
              <w:t>A</w:t>
            </w:r>
          </w:p>
        </w:tc>
        <w:tc>
          <w:tcPr>
            <w:tcW w:w="5081" w:type="dxa"/>
            <w:tcBorders>
              <w:top w:val="single" w:sz="12" w:space="0" w:color="auto"/>
              <w:left w:val="single" w:sz="12" w:space="0" w:color="auto"/>
              <w:right w:val="single" w:sz="12" w:space="0" w:color="auto"/>
            </w:tcBorders>
            <w:shd w:val="clear" w:color="auto" w:fill="auto"/>
            <w:vAlign w:val="center"/>
          </w:tcPr>
          <w:p w:rsidR="00687F77" w:rsidRPr="00742EFE" w:rsidRDefault="00687F77" w:rsidP="00F00313">
            <w:pPr>
              <w:spacing w:after="160" w:line="259" w:lineRule="auto"/>
              <w:rPr>
                <w:rFonts w:eastAsia="Calibri"/>
              </w:rPr>
            </w:pPr>
            <w:r w:rsidRPr="00742EFE">
              <w:rPr>
                <w:rFonts w:eastAsia="Calibri"/>
              </w:rPr>
              <w:t>Piedāvātā cena euro (bez PVN)</w:t>
            </w:r>
          </w:p>
        </w:tc>
        <w:tc>
          <w:tcPr>
            <w:tcW w:w="2819" w:type="dxa"/>
            <w:tcBorders>
              <w:top w:val="single" w:sz="12" w:space="0" w:color="auto"/>
              <w:left w:val="single" w:sz="12" w:space="0" w:color="auto"/>
              <w:right w:val="single" w:sz="12" w:space="0" w:color="auto"/>
            </w:tcBorders>
            <w:shd w:val="clear" w:color="auto" w:fill="auto"/>
            <w:vAlign w:val="center"/>
          </w:tcPr>
          <w:p w:rsidR="00687F77" w:rsidRPr="00742EFE" w:rsidRDefault="00687F77" w:rsidP="00F00313">
            <w:pPr>
              <w:suppressAutoHyphens/>
              <w:jc w:val="center"/>
              <w:rPr>
                <w:bCs/>
                <w:lang w:val="x-none" w:eastAsia="zh-CN"/>
              </w:rPr>
            </w:pPr>
            <w:r w:rsidRPr="00742EFE">
              <w:rPr>
                <w:bCs/>
                <w:lang w:val="x-none" w:eastAsia="zh-CN"/>
              </w:rPr>
              <w:t>50</w:t>
            </w:r>
          </w:p>
        </w:tc>
      </w:tr>
      <w:tr w:rsidR="00687F77" w:rsidRPr="00742EFE" w:rsidTr="00F00313">
        <w:tc>
          <w:tcPr>
            <w:tcW w:w="477" w:type="dxa"/>
            <w:tcBorders>
              <w:left w:val="single" w:sz="12" w:space="0" w:color="auto"/>
              <w:right w:val="single" w:sz="12" w:space="0" w:color="auto"/>
            </w:tcBorders>
            <w:shd w:val="clear" w:color="auto" w:fill="auto"/>
            <w:vAlign w:val="center"/>
          </w:tcPr>
          <w:p w:rsidR="00687F77" w:rsidRPr="00742EFE" w:rsidRDefault="00687F77" w:rsidP="00F00313">
            <w:pPr>
              <w:spacing w:after="160" w:line="259" w:lineRule="auto"/>
              <w:jc w:val="center"/>
              <w:rPr>
                <w:rFonts w:eastAsia="Calibri"/>
              </w:rPr>
            </w:pPr>
            <w:r w:rsidRPr="00742EFE">
              <w:rPr>
                <w:rFonts w:eastAsia="Calibri"/>
              </w:rPr>
              <w:t>B</w:t>
            </w:r>
          </w:p>
        </w:tc>
        <w:tc>
          <w:tcPr>
            <w:tcW w:w="5081" w:type="dxa"/>
            <w:tcBorders>
              <w:left w:val="single" w:sz="12" w:space="0" w:color="auto"/>
              <w:right w:val="single" w:sz="12" w:space="0" w:color="auto"/>
            </w:tcBorders>
            <w:shd w:val="clear" w:color="auto" w:fill="auto"/>
            <w:vAlign w:val="center"/>
          </w:tcPr>
          <w:p w:rsidR="00687F77" w:rsidRPr="00742EFE" w:rsidRDefault="00687F77" w:rsidP="00F00313">
            <w:pPr>
              <w:spacing w:after="160" w:line="259" w:lineRule="auto"/>
              <w:rPr>
                <w:rFonts w:eastAsia="Calibri"/>
              </w:rPr>
            </w:pPr>
            <w:r w:rsidRPr="00742EFE">
              <w:rPr>
                <w:rFonts w:eastAsia="Calibri"/>
              </w:rPr>
              <w:t>Pārtikas produktu piegāde videi draudzīgā veidā (2.-6. daļas) Piedāvāto pārtikas produktu ar paaugstinātu kvalitātes līmeni skaits (1.daļa)</w:t>
            </w:r>
          </w:p>
        </w:tc>
        <w:tc>
          <w:tcPr>
            <w:tcW w:w="2819" w:type="dxa"/>
            <w:tcBorders>
              <w:left w:val="single" w:sz="12" w:space="0" w:color="auto"/>
              <w:right w:val="single" w:sz="12" w:space="0" w:color="auto"/>
            </w:tcBorders>
            <w:shd w:val="clear" w:color="auto" w:fill="auto"/>
            <w:vAlign w:val="center"/>
          </w:tcPr>
          <w:p w:rsidR="00687F77" w:rsidRPr="00742EFE" w:rsidRDefault="00687F77" w:rsidP="00F00313">
            <w:pPr>
              <w:suppressAutoHyphens/>
              <w:jc w:val="center"/>
              <w:rPr>
                <w:bCs/>
                <w:lang w:val="x-none" w:eastAsia="zh-CN"/>
              </w:rPr>
            </w:pPr>
            <w:r w:rsidRPr="00742EFE">
              <w:rPr>
                <w:bCs/>
                <w:lang w:val="x-none" w:eastAsia="zh-CN"/>
              </w:rPr>
              <w:t>40</w:t>
            </w:r>
          </w:p>
        </w:tc>
      </w:tr>
      <w:tr w:rsidR="00687F77" w:rsidRPr="00742EFE" w:rsidTr="00F00313">
        <w:tc>
          <w:tcPr>
            <w:tcW w:w="477" w:type="dxa"/>
            <w:tcBorders>
              <w:left w:val="single" w:sz="12" w:space="0" w:color="auto"/>
              <w:bottom w:val="single" w:sz="12" w:space="0" w:color="auto"/>
              <w:right w:val="single" w:sz="12" w:space="0" w:color="auto"/>
            </w:tcBorders>
            <w:shd w:val="clear" w:color="auto" w:fill="auto"/>
            <w:vAlign w:val="center"/>
          </w:tcPr>
          <w:p w:rsidR="00687F77" w:rsidRPr="00742EFE" w:rsidRDefault="00687F77" w:rsidP="00F00313">
            <w:pPr>
              <w:spacing w:after="160" w:line="259" w:lineRule="auto"/>
              <w:jc w:val="center"/>
              <w:rPr>
                <w:rFonts w:eastAsia="Calibri"/>
                <w:b/>
                <w:highlight w:val="green"/>
              </w:rPr>
            </w:pPr>
            <w:r w:rsidRPr="00742EFE">
              <w:rPr>
                <w:rFonts w:eastAsia="Calibri"/>
                <w:b/>
              </w:rPr>
              <w:t>C</w:t>
            </w:r>
          </w:p>
        </w:tc>
        <w:tc>
          <w:tcPr>
            <w:tcW w:w="5081" w:type="dxa"/>
            <w:tcBorders>
              <w:left w:val="single" w:sz="12" w:space="0" w:color="auto"/>
              <w:bottom w:val="single" w:sz="12" w:space="0" w:color="auto"/>
              <w:right w:val="single" w:sz="12" w:space="0" w:color="auto"/>
            </w:tcBorders>
            <w:shd w:val="clear" w:color="auto" w:fill="auto"/>
            <w:vAlign w:val="center"/>
          </w:tcPr>
          <w:p w:rsidR="00687F77" w:rsidRPr="00742EFE" w:rsidRDefault="00687F77" w:rsidP="00F00313">
            <w:pPr>
              <w:spacing w:after="160" w:line="259" w:lineRule="auto"/>
              <w:rPr>
                <w:rFonts w:eastAsia="Calibri"/>
                <w:b/>
              </w:rPr>
            </w:pPr>
            <w:r w:rsidRPr="00742EFE">
              <w:rPr>
                <w:rFonts w:eastAsia="Calibri"/>
              </w:rPr>
              <w:t xml:space="preserve">Videi draudzīga izlietotā iepakojuma apsaimniekošana </w:t>
            </w:r>
          </w:p>
        </w:tc>
        <w:tc>
          <w:tcPr>
            <w:tcW w:w="2819" w:type="dxa"/>
            <w:tcBorders>
              <w:left w:val="single" w:sz="12" w:space="0" w:color="auto"/>
              <w:bottom w:val="single" w:sz="12" w:space="0" w:color="auto"/>
              <w:right w:val="single" w:sz="12" w:space="0" w:color="auto"/>
            </w:tcBorders>
            <w:shd w:val="clear" w:color="auto" w:fill="auto"/>
            <w:vAlign w:val="center"/>
          </w:tcPr>
          <w:p w:rsidR="00687F77" w:rsidRPr="00742EFE" w:rsidRDefault="00687F77" w:rsidP="00F00313">
            <w:pPr>
              <w:suppressAutoHyphens/>
              <w:jc w:val="center"/>
              <w:rPr>
                <w:iCs/>
                <w:lang w:val="x-none" w:eastAsia="zh-CN"/>
              </w:rPr>
            </w:pPr>
            <w:r w:rsidRPr="00742EFE">
              <w:rPr>
                <w:iCs/>
                <w:lang w:val="x-none" w:eastAsia="zh-CN"/>
              </w:rPr>
              <w:t>10</w:t>
            </w:r>
          </w:p>
        </w:tc>
      </w:tr>
      <w:tr w:rsidR="00687F77" w:rsidRPr="00742EFE" w:rsidTr="00F00313">
        <w:tc>
          <w:tcPr>
            <w:tcW w:w="477" w:type="dxa"/>
            <w:tcBorders>
              <w:top w:val="single" w:sz="12" w:space="0" w:color="auto"/>
              <w:left w:val="single" w:sz="12" w:space="0" w:color="auto"/>
              <w:bottom w:val="single" w:sz="12" w:space="0" w:color="auto"/>
              <w:right w:val="single" w:sz="12" w:space="0" w:color="auto"/>
            </w:tcBorders>
            <w:shd w:val="clear" w:color="auto" w:fill="auto"/>
            <w:vAlign w:val="center"/>
          </w:tcPr>
          <w:p w:rsidR="00687F77" w:rsidRPr="00742EFE" w:rsidRDefault="00687F77" w:rsidP="00F00313">
            <w:pPr>
              <w:spacing w:after="160" w:line="259" w:lineRule="auto"/>
              <w:jc w:val="center"/>
              <w:rPr>
                <w:rFonts w:eastAsia="Calibri"/>
                <w:b/>
              </w:rPr>
            </w:pPr>
          </w:p>
        </w:tc>
        <w:tc>
          <w:tcPr>
            <w:tcW w:w="5081" w:type="dxa"/>
            <w:tcBorders>
              <w:top w:val="single" w:sz="12" w:space="0" w:color="auto"/>
              <w:left w:val="single" w:sz="12" w:space="0" w:color="auto"/>
              <w:bottom w:val="single" w:sz="12" w:space="0" w:color="auto"/>
              <w:right w:val="single" w:sz="12" w:space="0" w:color="auto"/>
            </w:tcBorders>
            <w:shd w:val="clear" w:color="auto" w:fill="auto"/>
            <w:vAlign w:val="center"/>
          </w:tcPr>
          <w:p w:rsidR="00687F77" w:rsidRPr="00742EFE" w:rsidRDefault="00687F77" w:rsidP="00F00313">
            <w:pPr>
              <w:spacing w:after="160" w:line="259" w:lineRule="auto"/>
              <w:rPr>
                <w:rFonts w:eastAsia="Calibri"/>
              </w:rPr>
            </w:pPr>
            <w:r w:rsidRPr="00742EFE">
              <w:rPr>
                <w:rFonts w:eastAsia="Calibri"/>
              </w:rPr>
              <w:t>Maksimālais iespējamais kopējais punktu skaits</w:t>
            </w:r>
          </w:p>
        </w:tc>
        <w:tc>
          <w:tcPr>
            <w:tcW w:w="2819" w:type="dxa"/>
            <w:tcBorders>
              <w:top w:val="single" w:sz="12" w:space="0" w:color="auto"/>
              <w:left w:val="single" w:sz="12" w:space="0" w:color="auto"/>
              <w:bottom w:val="single" w:sz="12" w:space="0" w:color="auto"/>
              <w:right w:val="single" w:sz="12" w:space="0" w:color="auto"/>
            </w:tcBorders>
            <w:shd w:val="clear" w:color="auto" w:fill="auto"/>
            <w:vAlign w:val="center"/>
          </w:tcPr>
          <w:p w:rsidR="00687F77" w:rsidRPr="00742EFE" w:rsidRDefault="00687F77" w:rsidP="00F00313">
            <w:pPr>
              <w:spacing w:after="160" w:line="259" w:lineRule="auto"/>
              <w:jc w:val="center"/>
              <w:rPr>
                <w:rFonts w:eastAsia="Calibri"/>
                <w:iCs/>
              </w:rPr>
            </w:pPr>
            <w:r w:rsidRPr="00742EFE">
              <w:rPr>
                <w:rFonts w:eastAsia="Calibri"/>
                <w:iCs/>
              </w:rPr>
              <w:t>100</w:t>
            </w:r>
          </w:p>
        </w:tc>
      </w:tr>
    </w:tbl>
    <w:p w:rsidR="00787315" w:rsidRDefault="00787315" w:rsidP="00687F77">
      <w:pPr>
        <w:spacing w:line="259" w:lineRule="auto"/>
        <w:ind w:left="142"/>
        <w:jc w:val="both"/>
        <w:rPr>
          <w:rFonts w:eastAsia="Calibri"/>
        </w:rPr>
      </w:pPr>
    </w:p>
    <w:p w:rsidR="00687F77" w:rsidRDefault="00687F77" w:rsidP="00787315">
      <w:pPr>
        <w:spacing w:line="259" w:lineRule="auto"/>
        <w:jc w:val="both"/>
        <w:rPr>
          <w:rFonts w:eastAsia="Calibri"/>
        </w:rPr>
      </w:pPr>
      <w:r w:rsidRPr="00742EFE">
        <w:rPr>
          <w:rFonts w:eastAsia="Calibri"/>
        </w:rPr>
        <w:t xml:space="preserve">Kritērijā </w:t>
      </w:r>
      <w:r w:rsidRPr="00742EFE">
        <w:rPr>
          <w:rFonts w:eastAsia="Calibri"/>
          <w:b/>
        </w:rPr>
        <w:t>A</w:t>
      </w:r>
      <w:r w:rsidRPr="00742EFE">
        <w:rPr>
          <w:rFonts w:eastAsia="Calibri"/>
        </w:rPr>
        <w:t xml:space="preserve"> (piedāvātā cena) maksimālais punktu skaits – 50 punkti tiek piešķirts lētākajam piedāvājumam.</w:t>
      </w:r>
    </w:p>
    <w:p w:rsidR="00EA3257" w:rsidRDefault="00EA3257" w:rsidP="00EA3257">
      <w:pPr>
        <w:spacing w:line="259" w:lineRule="auto"/>
        <w:ind w:firstLine="720"/>
        <w:jc w:val="both"/>
        <w:rPr>
          <w:rFonts w:eastAsia="Calibri"/>
        </w:rPr>
      </w:pPr>
      <w:r>
        <w:rPr>
          <w:rFonts w:eastAsia="Calibri"/>
          <w:b/>
        </w:rPr>
        <w:t>A</w:t>
      </w:r>
      <w:r w:rsidRPr="00742EFE">
        <w:rPr>
          <w:rFonts w:eastAsia="Calibri"/>
          <w:b/>
        </w:rPr>
        <w:t xml:space="preserve"> = Az/Ap*</w:t>
      </w:r>
      <w:r>
        <w:rPr>
          <w:rFonts w:eastAsia="Calibri"/>
          <w:b/>
        </w:rPr>
        <w:t>50,</w:t>
      </w:r>
      <w:r w:rsidRPr="00742EFE">
        <w:rPr>
          <w:rFonts w:eastAsia="Calibri"/>
        </w:rPr>
        <w:t xml:space="preserve"> kur</w:t>
      </w:r>
    </w:p>
    <w:p w:rsidR="00EA3257" w:rsidRPr="00EA3257" w:rsidRDefault="00EA3257" w:rsidP="00EA3257">
      <w:pPr>
        <w:spacing w:line="259" w:lineRule="auto"/>
        <w:jc w:val="both"/>
        <w:rPr>
          <w:lang w:eastAsia="lv-LV"/>
        </w:rPr>
      </w:pPr>
      <w:r w:rsidRPr="00742EFE">
        <w:rPr>
          <w:lang w:eastAsia="lv-LV"/>
        </w:rPr>
        <w:t>Az – zemākā piedāvātā cena bez PVN;</w:t>
      </w:r>
      <w:r>
        <w:rPr>
          <w:lang w:eastAsia="lv-LV"/>
        </w:rPr>
        <w:t xml:space="preserve"> </w:t>
      </w:r>
      <w:r w:rsidRPr="00742EFE">
        <w:rPr>
          <w:lang w:eastAsia="lv-LV"/>
        </w:rPr>
        <w:t>Ap – pre</w:t>
      </w:r>
      <w:r>
        <w:rPr>
          <w:lang w:eastAsia="lv-LV"/>
        </w:rPr>
        <w:t>tendenta piedāvātā cena bez PVN</w:t>
      </w:r>
    </w:p>
    <w:p w:rsidR="00687F77" w:rsidRPr="00742EFE" w:rsidRDefault="00687F77" w:rsidP="00787315">
      <w:pPr>
        <w:tabs>
          <w:tab w:val="num" w:pos="840"/>
        </w:tabs>
        <w:spacing w:line="259" w:lineRule="auto"/>
        <w:jc w:val="both"/>
        <w:rPr>
          <w:rFonts w:eastAsia="Calibri"/>
        </w:rPr>
      </w:pPr>
      <w:r w:rsidRPr="00742EFE">
        <w:rPr>
          <w:rFonts w:eastAsia="Calibri"/>
        </w:rPr>
        <w:t xml:space="preserve">Kritērijā </w:t>
      </w:r>
      <w:r w:rsidRPr="00742EFE">
        <w:rPr>
          <w:rFonts w:eastAsia="Calibri"/>
          <w:b/>
        </w:rPr>
        <w:t>B (2.- 6. daļai)</w:t>
      </w:r>
      <w:r w:rsidRPr="00742EFE">
        <w:rPr>
          <w:rFonts w:eastAsia="Calibri"/>
        </w:rPr>
        <w:t xml:space="preserve"> pārtikas produktu piegāde videi draudzīgā veidā punktu skaits, tiek piešķirts piedāvājumam atkarībā no pretendenta piegādājamo preču ražošanas (2., 4., 5. daļas) vai komplektēšanas (3.,6.,daļas) vietas attāluma līdz Kokneses novada domei Melioratoru ielā 1, Koknesē, Kokneses novadā:</w:t>
      </w:r>
      <w:r>
        <w:rPr>
          <w:rFonts w:eastAsia="Calibri"/>
        </w:rPr>
        <w:t xml:space="preserve"> </w:t>
      </w:r>
      <w:r w:rsidRPr="00742EFE">
        <w:rPr>
          <w:rFonts w:eastAsia="Calibri"/>
        </w:rPr>
        <w:t>līdz 40 km – 40 punkti;</w:t>
      </w:r>
      <w:r>
        <w:rPr>
          <w:rFonts w:eastAsia="Calibri"/>
        </w:rPr>
        <w:t xml:space="preserve"> </w:t>
      </w:r>
      <w:r w:rsidRPr="00742EFE">
        <w:rPr>
          <w:rFonts w:eastAsia="Calibri"/>
        </w:rPr>
        <w:t>41 līdz 80 km – 30 punkti;</w:t>
      </w:r>
      <w:r>
        <w:rPr>
          <w:rFonts w:eastAsia="Calibri"/>
        </w:rPr>
        <w:t xml:space="preserve"> </w:t>
      </w:r>
      <w:r w:rsidRPr="00742EFE">
        <w:rPr>
          <w:rFonts w:eastAsia="Calibri"/>
        </w:rPr>
        <w:t>81 līdz 120 km – 20 punkti;</w:t>
      </w:r>
      <w:r>
        <w:rPr>
          <w:rFonts w:eastAsia="Calibri"/>
        </w:rPr>
        <w:t xml:space="preserve"> </w:t>
      </w:r>
      <w:r w:rsidRPr="00742EFE">
        <w:rPr>
          <w:rFonts w:eastAsia="Calibri"/>
        </w:rPr>
        <w:t>121 līdz 160 km – 10 punkti;</w:t>
      </w:r>
      <w:r>
        <w:rPr>
          <w:rFonts w:eastAsia="Calibri"/>
        </w:rPr>
        <w:t xml:space="preserve"> v</w:t>
      </w:r>
      <w:r w:rsidRPr="00742EFE">
        <w:rPr>
          <w:rFonts w:eastAsia="Calibri"/>
        </w:rPr>
        <w:t>airāk par 160 km – punktus nepiešķir.</w:t>
      </w:r>
    </w:p>
    <w:p w:rsidR="00687F77" w:rsidRDefault="00687F77" w:rsidP="00787315">
      <w:pPr>
        <w:spacing w:line="259" w:lineRule="auto"/>
        <w:jc w:val="both"/>
        <w:rPr>
          <w:rFonts w:eastAsia="Calibri"/>
        </w:rPr>
      </w:pPr>
      <w:r w:rsidRPr="00742EFE">
        <w:rPr>
          <w:rFonts w:eastAsia="Calibri"/>
          <w:b/>
        </w:rPr>
        <w:t>1.daļai</w:t>
      </w:r>
      <w:r w:rsidRPr="00742EFE">
        <w:rPr>
          <w:rFonts w:eastAsia="Calibri"/>
        </w:rPr>
        <w:t xml:space="preserve"> kritērijā </w:t>
      </w:r>
      <w:r w:rsidRPr="00742EFE">
        <w:rPr>
          <w:rFonts w:eastAsia="Calibri"/>
          <w:b/>
        </w:rPr>
        <w:t>B</w:t>
      </w:r>
      <w:r w:rsidRPr="00742EFE">
        <w:rPr>
          <w:rFonts w:eastAsia="Calibri"/>
        </w:rPr>
        <w:t xml:space="preserve"> (piedāvāto pārtikas produktu ar paaugstinātu kvalitātes līmeni skaits) maksimālais punktu skaits – 40 punkti tiek piešķirts piedāvājumam, kurā ir iekļauts visvairāk produktu, kas sertificēti atbilstoši nacionālās pārtikas kvalitātes shēmai saskaņā ar Ministru kabineta 2014.gada 12.augusta noteikumiem Nr. 461 „Prasības pārtikas kvalitātes shēmām, to ieviešanas, darbības, uzraudzības un kontroles kārtība”.</w:t>
      </w:r>
    </w:p>
    <w:p w:rsidR="00687F77" w:rsidRDefault="00687F77" w:rsidP="00787315">
      <w:pPr>
        <w:tabs>
          <w:tab w:val="left" w:pos="142"/>
        </w:tabs>
        <w:spacing w:line="259" w:lineRule="auto"/>
        <w:jc w:val="both"/>
        <w:rPr>
          <w:rFonts w:eastAsia="Calibri"/>
        </w:rPr>
      </w:pPr>
      <w:r w:rsidRPr="00742EFE">
        <w:rPr>
          <w:rFonts w:eastAsia="Calibri"/>
        </w:rPr>
        <w:t xml:space="preserve">Kritērijā </w:t>
      </w:r>
      <w:r w:rsidRPr="00742EFE">
        <w:rPr>
          <w:rFonts w:eastAsia="Calibri"/>
          <w:b/>
        </w:rPr>
        <w:t>C</w:t>
      </w:r>
      <w:r w:rsidRPr="00742EFE">
        <w:rPr>
          <w:rFonts w:eastAsia="Calibri"/>
        </w:rPr>
        <w:t xml:space="preserve"> (videi draudzīga izlietotā iepakojuma apsaimniekošana) 10 punkti tiek piešķirti piedāvājumam, ja  pretendents veic piegādājamo</w:t>
      </w:r>
      <w:r>
        <w:rPr>
          <w:rFonts w:eastAsia="Calibri"/>
        </w:rPr>
        <w:t xml:space="preserve"> preču iepakojuma pieņemšanu no</w:t>
      </w:r>
      <w:r w:rsidR="00787315">
        <w:rPr>
          <w:rFonts w:eastAsia="Calibri"/>
        </w:rPr>
        <w:t xml:space="preserve"> </w:t>
      </w:r>
      <w:r w:rsidRPr="00742EFE">
        <w:rPr>
          <w:rFonts w:eastAsia="Calibri"/>
        </w:rPr>
        <w:t>pasūtītāja pēc iepakojumā esošo produktu izlietošanas.</w:t>
      </w:r>
    </w:p>
    <w:p w:rsidR="00787315" w:rsidRDefault="00687F77" w:rsidP="00787315">
      <w:pPr>
        <w:tabs>
          <w:tab w:val="left" w:pos="840"/>
        </w:tabs>
        <w:spacing w:line="259" w:lineRule="auto"/>
        <w:jc w:val="both"/>
        <w:rPr>
          <w:rFonts w:eastAsia="Calibri"/>
        </w:rPr>
      </w:pPr>
      <w:r w:rsidRPr="00742EFE">
        <w:rPr>
          <w:rFonts w:eastAsia="Calibri"/>
        </w:rPr>
        <w:t xml:space="preserve">Pretendenta piedāvājumu galīgo vērtību </w:t>
      </w:r>
      <w:r w:rsidRPr="00742EFE">
        <w:rPr>
          <w:rFonts w:eastAsia="Calibri"/>
          <w:b/>
        </w:rPr>
        <w:t>2. – 6. daļai</w:t>
      </w:r>
      <w:r w:rsidRPr="00742EFE">
        <w:rPr>
          <w:rFonts w:eastAsia="Calibri"/>
        </w:rPr>
        <w:t xml:space="preserve"> ap</w:t>
      </w:r>
      <w:r w:rsidR="00787315">
        <w:rPr>
          <w:rFonts w:eastAsia="Calibri"/>
        </w:rPr>
        <w:t>rēķina saskaņā ar šādu formulu:</w:t>
      </w:r>
    </w:p>
    <w:p w:rsidR="00687F77" w:rsidRPr="00742EFE" w:rsidRDefault="00787315" w:rsidP="00787315">
      <w:pPr>
        <w:tabs>
          <w:tab w:val="left" w:pos="840"/>
        </w:tabs>
        <w:spacing w:line="259" w:lineRule="auto"/>
        <w:jc w:val="both"/>
        <w:rPr>
          <w:rFonts w:eastAsia="Calibri"/>
        </w:rPr>
      </w:pPr>
      <w:r>
        <w:rPr>
          <w:rFonts w:eastAsia="Calibri"/>
        </w:rPr>
        <w:tab/>
      </w:r>
      <w:r w:rsidR="00687F77" w:rsidRPr="00742EFE">
        <w:rPr>
          <w:rFonts w:eastAsia="Calibri"/>
          <w:b/>
        </w:rPr>
        <w:t>P = Az/Ap*M + B + C</w:t>
      </w:r>
      <w:r w:rsidR="00687F77" w:rsidRPr="00742EFE">
        <w:rPr>
          <w:rFonts w:eastAsia="Calibri"/>
        </w:rPr>
        <w:t>, kur:</w:t>
      </w:r>
    </w:p>
    <w:p w:rsidR="00687F77" w:rsidRPr="00742EFE" w:rsidRDefault="00687F77" w:rsidP="00787315">
      <w:pPr>
        <w:spacing w:line="259" w:lineRule="auto"/>
        <w:jc w:val="both"/>
        <w:rPr>
          <w:lang w:eastAsia="lv-LV"/>
        </w:rPr>
      </w:pPr>
      <w:r w:rsidRPr="00742EFE">
        <w:rPr>
          <w:lang w:eastAsia="lv-LV"/>
        </w:rPr>
        <w:t>P – pretendenta piedāvājuma galīgais vērtējums;</w:t>
      </w:r>
      <w:r w:rsidRPr="00CB36D9">
        <w:rPr>
          <w:lang w:eastAsia="lv-LV"/>
        </w:rPr>
        <w:t xml:space="preserve"> </w:t>
      </w:r>
      <w:r w:rsidRPr="00742EFE">
        <w:rPr>
          <w:lang w:eastAsia="lv-LV"/>
        </w:rPr>
        <w:t>Az – zemākā piedāvātā cena bez PVN;</w:t>
      </w:r>
    </w:p>
    <w:p w:rsidR="00687F77" w:rsidRPr="00742EFE" w:rsidRDefault="00687F77" w:rsidP="00787315">
      <w:pPr>
        <w:spacing w:line="259" w:lineRule="auto"/>
        <w:jc w:val="both"/>
        <w:rPr>
          <w:lang w:eastAsia="lv-LV"/>
        </w:rPr>
      </w:pPr>
      <w:r w:rsidRPr="00742EFE">
        <w:rPr>
          <w:lang w:eastAsia="lv-LV"/>
        </w:rPr>
        <w:t>Ap – pretendenta piedāvātā cena bez PVN;</w:t>
      </w:r>
      <w:r w:rsidRPr="00CB36D9">
        <w:rPr>
          <w:lang w:eastAsia="lv-LV"/>
        </w:rPr>
        <w:t xml:space="preserve"> </w:t>
      </w:r>
      <w:r w:rsidRPr="00742EFE">
        <w:rPr>
          <w:lang w:eastAsia="lv-LV"/>
        </w:rPr>
        <w:t>B, C – pretendenta kopējais saņemto punktu skaits attiecīgi vērtēšanas kritērijos B, C;</w:t>
      </w:r>
      <w:r w:rsidRPr="00CB36D9">
        <w:rPr>
          <w:lang w:eastAsia="lv-LV"/>
        </w:rPr>
        <w:t xml:space="preserve"> </w:t>
      </w:r>
      <w:r w:rsidRPr="00742EFE">
        <w:rPr>
          <w:lang w:eastAsia="lv-LV"/>
        </w:rPr>
        <w:t>M – attiecīgā vērtēšanas kritērija maksimālā skaitliskā vērtība.</w:t>
      </w:r>
    </w:p>
    <w:p w:rsidR="00787315" w:rsidRDefault="00687F77" w:rsidP="00787315">
      <w:pPr>
        <w:spacing w:line="259" w:lineRule="auto"/>
        <w:jc w:val="both"/>
        <w:rPr>
          <w:lang w:eastAsia="lv-LV"/>
        </w:rPr>
      </w:pPr>
      <w:r w:rsidRPr="00742EFE">
        <w:rPr>
          <w:lang w:eastAsia="lv-LV"/>
        </w:rPr>
        <w:t xml:space="preserve">Pretendenta piedāvājumu galīgo vērtību </w:t>
      </w:r>
      <w:r w:rsidRPr="00742EFE">
        <w:rPr>
          <w:b/>
          <w:lang w:eastAsia="lv-LV"/>
        </w:rPr>
        <w:t>1.daļai</w:t>
      </w:r>
      <w:r w:rsidRPr="00742EFE">
        <w:rPr>
          <w:lang w:eastAsia="lv-LV"/>
        </w:rPr>
        <w:t xml:space="preserve"> aprē</w:t>
      </w:r>
      <w:r w:rsidR="00787315">
        <w:rPr>
          <w:lang w:eastAsia="lv-LV"/>
        </w:rPr>
        <w:t>ķina saskaņā ar šādu formulu:</w:t>
      </w:r>
    </w:p>
    <w:p w:rsidR="00687F77" w:rsidRPr="00742EFE" w:rsidRDefault="00687F77" w:rsidP="00787315">
      <w:pPr>
        <w:spacing w:line="259" w:lineRule="auto"/>
        <w:ind w:firstLine="720"/>
        <w:jc w:val="both"/>
        <w:rPr>
          <w:lang w:eastAsia="lv-LV"/>
        </w:rPr>
      </w:pPr>
      <w:r w:rsidRPr="00742EFE">
        <w:rPr>
          <w:b/>
          <w:lang w:eastAsia="lv-LV"/>
        </w:rPr>
        <w:t>P =</w:t>
      </w:r>
      <w:r w:rsidRPr="00742EFE">
        <w:rPr>
          <w:lang w:eastAsia="lv-LV"/>
        </w:rPr>
        <w:t xml:space="preserve"> </w:t>
      </w:r>
      <w:r w:rsidRPr="00742EFE">
        <w:rPr>
          <w:b/>
          <w:lang w:eastAsia="lv-LV"/>
        </w:rPr>
        <w:t>Az/Ap*M + Bp/Bm*</w:t>
      </w:r>
      <w:r>
        <w:rPr>
          <w:b/>
          <w:lang w:eastAsia="lv-LV"/>
        </w:rPr>
        <w:t>B</w:t>
      </w:r>
      <w:r w:rsidRPr="00742EFE">
        <w:rPr>
          <w:b/>
          <w:lang w:eastAsia="lv-LV"/>
        </w:rPr>
        <w:t xml:space="preserve"> + C,</w:t>
      </w:r>
      <w:r w:rsidRPr="00742EFE">
        <w:rPr>
          <w:lang w:eastAsia="lv-LV"/>
        </w:rPr>
        <w:t xml:space="preserve"> kur:</w:t>
      </w:r>
    </w:p>
    <w:p w:rsidR="00687F77" w:rsidRPr="00742EFE" w:rsidRDefault="00687F77" w:rsidP="00787315">
      <w:pPr>
        <w:spacing w:line="259" w:lineRule="auto"/>
        <w:jc w:val="both"/>
        <w:rPr>
          <w:lang w:eastAsia="lv-LV"/>
        </w:rPr>
      </w:pPr>
      <w:r w:rsidRPr="00742EFE">
        <w:rPr>
          <w:lang w:eastAsia="lv-LV"/>
        </w:rPr>
        <w:t>P – pretendenta piedāvājuma galīgais vērtējums;</w:t>
      </w:r>
      <w:r w:rsidRPr="00CB36D9">
        <w:rPr>
          <w:lang w:eastAsia="lv-LV"/>
        </w:rPr>
        <w:t xml:space="preserve"> </w:t>
      </w:r>
      <w:r w:rsidRPr="00742EFE">
        <w:rPr>
          <w:lang w:eastAsia="lv-LV"/>
        </w:rPr>
        <w:t>Az – zemākā piedāvātā cena bez PVN;</w:t>
      </w:r>
    </w:p>
    <w:p w:rsidR="00687F77" w:rsidRDefault="00687F77" w:rsidP="00787315">
      <w:pPr>
        <w:spacing w:line="259" w:lineRule="auto"/>
        <w:jc w:val="both"/>
        <w:rPr>
          <w:lang w:eastAsia="lv-LV"/>
        </w:rPr>
      </w:pPr>
      <w:r w:rsidRPr="00742EFE">
        <w:rPr>
          <w:lang w:eastAsia="lv-LV"/>
        </w:rPr>
        <w:t>Ap – pretendenta piedāvātā cena bez PVN;</w:t>
      </w:r>
      <w:r w:rsidRPr="00CB36D9">
        <w:rPr>
          <w:lang w:eastAsia="lv-LV"/>
        </w:rPr>
        <w:t xml:space="preserve"> </w:t>
      </w:r>
      <w:r w:rsidRPr="00742EFE">
        <w:rPr>
          <w:lang w:eastAsia="lv-LV"/>
        </w:rPr>
        <w:t>Bp – pretendenta  piedāvājumā ietverto sertificēto produktu skaits atbilstoši nacionālās pārtikas kvalitātes shēmai;</w:t>
      </w:r>
      <w:r w:rsidRPr="00CB36D9">
        <w:rPr>
          <w:lang w:eastAsia="lv-LV"/>
        </w:rPr>
        <w:t xml:space="preserve"> </w:t>
      </w:r>
      <w:r w:rsidRPr="00742EFE">
        <w:rPr>
          <w:lang w:eastAsia="lv-LV"/>
        </w:rPr>
        <w:t>Bm – lielākais piedāvājumā ietverto sertificēto produktu skaits atbilstoši nacionālās pārtikas kvalitātes shēmai;</w:t>
      </w:r>
      <w:r w:rsidRPr="00CB36D9">
        <w:rPr>
          <w:lang w:eastAsia="lv-LV"/>
        </w:rPr>
        <w:t xml:space="preserve"> </w:t>
      </w:r>
      <w:r w:rsidRPr="00742EFE">
        <w:rPr>
          <w:lang w:eastAsia="lv-LV"/>
        </w:rPr>
        <w:t xml:space="preserve">C – pretendenta </w:t>
      </w:r>
      <w:r w:rsidRPr="00742EFE">
        <w:rPr>
          <w:lang w:eastAsia="lv-LV"/>
        </w:rPr>
        <w:lastRenderedPageBreak/>
        <w:t>kopējais saņemto punktu skaits vērtēšanas kritērijā C;</w:t>
      </w:r>
      <w:r w:rsidRPr="00CB36D9">
        <w:rPr>
          <w:lang w:eastAsia="lv-LV"/>
        </w:rPr>
        <w:t xml:space="preserve"> </w:t>
      </w:r>
      <w:r w:rsidRPr="00742EFE">
        <w:rPr>
          <w:lang w:eastAsia="lv-LV"/>
        </w:rPr>
        <w:t>M – attiecīgā vērtēšanas kritērija maksimālā skaitliskā vērtība.</w:t>
      </w:r>
    </w:p>
    <w:p w:rsidR="001E5759" w:rsidRPr="00742EFE" w:rsidRDefault="001E5759" w:rsidP="00787315">
      <w:pPr>
        <w:spacing w:line="259" w:lineRule="auto"/>
        <w:jc w:val="both"/>
        <w:rPr>
          <w:lang w:eastAsia="lv-LV"/>
        </w:rPr>
      </w:pPr>
    </w:p>
    <w:p w:rsidR="00687F77" w:rsidRDefault="00687F77" w:rsidP="00FB15DF">
      <w:pPr>
        <w:spacing w:line="259" w:lineRule="auto"/>
        <w:jc w:val="both"/>
        <w:rPr>
          <w:lang w:eastAsia="lv-LV"/>
        </w:rPr>
      </w:pPr>
      <w:r w:rsidRPr="00742EFE">
        <w:rPr>
          <w:lang w:eastAsia="lv-LV"/>
        </w:rPr>
        <w:t xml:space="preserve">Par </w:t>
      </w:r>
      <w:r w:rsidRPr="00742EFE">
        <w:rPr>
          <w:b/>
          <w:lang w:eastAsia="lv-LV"/>
        </w:rPr>
        <w:t xml:space="preserve">saimnieciski visizdevīgāko </w:t>
      </w:r>
      <w:r w:rsidRPr="00742EFE">
        <w:rPr>
          <w:lang w:eastAsia="lv-LV"/>
        </w:rPr>
        <w:t>tiks atzīts piedāvājums, kurš ir ieguvis vislielāko punktu skaitu.</w:t>
      </w:r>
      <w:r w:rsidRPr="00097933">
        <w:t xml:space="preserve">  </w:t>
      </w:r>
    </w:p>
    <w:p w:rsidR="001E5759" w:rsidRPr="00097933" w:rsidRDefault="001E5759" w:rsidP="00687F77">
      <w:pPr>
        <w:ind w:left="142"/>
        <w:jc w:val="both"/>
      </w:pPr>
    </w:p>
    <w:tbl>
      <w:tblPr>
        <w:tblW w:w="93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54"/>
        <w:gridCol w:w="1471"/>
        <w:gridCol w:w="1250"/>
        <w:gridCol w:w="756"/>
        <w:gridCol w:w="581"/>
        <w:gridCol w:w="559"/>
        <w:gridCol w:w="1150"/>
      </w:tblGrid>
      <w:tr w:rsidR="00687F77" w:rsidRPr="00097933" w:rsidTr="00F00313">
        <w:trPr>
          <w:trHeight w:val="410"/>
        </w:trPr>
        <w:tc>
          <w:tcPr>
            <w:tcW w:w="850" w:type="dxa"/>
            <w:tcBorders>
              <w:bottom w:val="single" w:sz="4" w:space="0" w:color="auto"/>
            </w:tcBorders>
            <w:shd w:val="clear" w:color="auto" w:fill="auto"/>
          </w:tcPr>
          <w:p w:rsidR="00687F77" w:rsidRPr="00097933" w:rsidRDefault="00687F77" w:rsidP="00F00313">
            <w:r w:rsidRPr="00097933">
              <w:t>Daļa</w:t>
            </w:r>
          </w:p>
        </w:tc>
        <w:tc>
          <w:tcPr>
            <w:tcW w:w="2754" w:type="dxa"/>
            <w:shd w:val="clear" w:color="auto" w:fill="auto"/>
          </w:tcPr>
          <w:p w:rsidR="00687F77" w:rsidRPr="00097933" w:rsidRDefault="00687F77" w:rsidP="00F00313">
            <w:pPr>
              <w:jc w:val="center"/>
            </w:pPr>
            <w:r w:rsidRPr="00097933">
              <w:t>Pretendents</w:t>
            </w:r>
          </w:p>
        </w:tc>
        <w:tc>
          <w:tcPr>
            <w:tcW w:w="1471" w:type="dxa"/>
            <w:shd w:val="clear" w:color="auto" w:fill="auto"/>
          </w:tcPr>
          <w:p w:rsidR="00687F77" w:rsidRPr="00097933" w:rsidRDefault="00687F77" w:rsidP="00F00313">
            <w:pPr>
              <w:jc w:val="center"/>
            </w:pPr>
            <w:r w:rsidRPr="00097933">
              <w:t>Ap</w:t>
            </w:r>
          </w:p>
        </w:tc>
        <w:tc>
          <w:tcPr>
            <w:tcW w:w="1250" w:type="dxa"/>
            <w:shd w:val="clear" w:color="auto" w:fill="auto"/>
          </w:tcPr>
          <w:p w:rsidR="00687F77" w:rsidRPr="00097933" w:rsidRDefault="00687F77" w:rsidP="00F00313">
            <w:pPr>
              <w:jc w:val="center"/>
            </w:pPr>
            <w:r w:rsidRPr="00097933">
              <w:t>Az</w:t>
            </w:r>
          </w:p>
        </w:tc>
        <w:tc>
          <w:tcPr>
            <w:tcW w:w="756" w:type="dxa"/>
            <w:shd w:val="clear" w:color="auto" w:fill="auto"/>
          </w:tcPr>
          <w:p w:rsidR="00687F77" w:rsidRPr="00097933" w:rsidRDefault="00687F77" w:rsidP="00F00313">
            <w:pPr>
              <w:jc w:val="center"/>
            </w:pPr>
            <w:r w:rsidRPr="00097933">
              <w:t>M</w:t>
            </w:r>
          </w:p>
        </w:tc>
        <w:tc>
          <w:tcPr>
            <w:tcW w:w="581" w:type="dxa"/>
            <w:shd w:val="clear" w:color="auto" w:fill="auto"/>
          </w:tcPr>
          <w:p w:rsidR="00687F77" w:rsidRPr="00097933" w:rsidRDefault="00687F77" w:rsidP="00F00313">
            <w:pPr>
              <w:jc w:val="center"/>
            </w:pPr>
            <w:r w:rsidRPr="00097933">
              <w:t>B</w:t>
            </w:r>
          </w:p>
        </w:tc>
        <w:tc>
          <w:tcPr>
            <w:tcW w:w="559" w:type="dxa"/>
            <w:shd w:val="clear" w:color="auto" w:fill="auto"/>
          </w:tcPr>
          <w:p w:rsidR="00687F77" w:rsidRPr="00097933" w:rsidRDefault="00687F77" w:rsidP="00F00313">
            <w:pPr>
              <w:jc w:val="center"/>
            </w:pPr>
            <w:r w:rsidRPr="00097933">
              <w:t>C</w:t>
            </w:r>
          </w:p>
        </w:tc>
        <w:tc>
          <w:tcPr>
            <w:tcW w:w="1150" w:type="dxa"/>
            <w:shd w:val="clear" w:color="auto" w:fill="auto"/>
          </w:tcPr>
          <w:p w:rsidR="00687F77" w:rsidRPr="00097933" w:rsidRDefault="00687F77" w:rsidP="00F00313">
            <w:pPr>
              <w:jc w:val="center"/>
            </w:pPr>
            <w:r w:rsidRPr="00097933">
              <w:t>P</w:t>
            </w:r>
          </w:p>
        </w:tc>
      </w:tr>
      <w:tr w:rsidR="00687F77" w:rsidRPr="00097933" w:rsidTr="00F00313">
        <w:trPr>
          <w:trHeight w:val="323"/>
        </w:trPr>
        <w:tc>
          <w:tcPr>
            <w:tcW w:w="850" w:type="dxa"/>
            <w:tcBorders>
              <w:top w:val="single" w:sz="4" w:space="0" w:color="auto"/>
              <w:left w:val="single" w:sz="4" w:space="0" w:color="auto"/>
              <w:bottom w:val="nil"/>
              <w:right w:val="single" w:sz="4" w:space="0" w:color="auto"/>
            </w:tcBorders>
            <w:shd w:val="clear" w:color="auto" w:fill="auto"/>
          </w:tcPr>
          <w:p w:rsidR="00687F77" w:rsidRPr="002F3822" w:rsidRDefault="002F3822" w:rsidP="002F3822">
            <w:pPr>
              <w:jc w:val="center"/>
              <w:rPr>
                <w:b/>
              </w:rPr>
            </w:pPr>
            <w:r w:rsidRPr="002F3822">
              <w:rPr>
                <w:b/>
              </w:rPr>
              <w:t>1.</w:t>
            </w:r>
          </w:p>
        </w:tc>
        <w:tc>
          <w:tcPr>
            <w:tcW w:w="2754" w:type="dxa"/>
            <w:tcBorders>
              <w:left w:val="single" w:sz="4" w:space="0" w:color="auto"/>
            </w:tcBorders>
            <w:shd w:val="clear" w:color="auto" w:fill="auto"/>
          </w:tcPr>
          <w:p w:rsidR="00687F77" w:rsidRPr="00097933" w:rsidRDefault="00687F77" w:rsidP="00F00313">
            <w:pPr>
              <w:jc w:val="center"/>
            </w:pPr>
            <w:r w:rsidRPr="00097933">
              <w:t>A/S “Preiļu siers”</w:t>
            </w:r>
            <w:r w:rsidRPr="00097933">
              <w:tab/>
            </w:r>
          </w:p>
        </w:tc>
        <w:tc>
          <w:tcPr>
            <w:tcW w:w="1471" w:type="dxa"/>
            <w:shd w:val="clear" w:color="auto" w:fill="auto"/>
          </w:tcPr>
          <w:p w:rsidR="00687F77" w:rsidRPr="00097933" w:rsidRDefault="00687F77" w:rsidP="00F00313">
            <w:pPr>
              <w:jc w:val="center"/>
            </w:pPr>
            <w:r w:rsidRPr="00097933">
              <w:t>28318,00</w:t>
            </w:r>
          </w:p>
        </w:tc>
        <w:tc>
          <w:tcPr>
            <w:tcW w:w="1250" w:type="dxa"/>
            <w:shd w:val="clear" w:color="auto" w:fill="auto"/>
          </w:tcPr>
          <w:p w:rsidR="00687F77" w:rsidRPr="00097933" w:rsidRDefault="00687F77" w:rsidP="00F00313">
            <w:pPr>
              <w:jc w:val="center"/>
            </w:pPr>
            <w:r w:rsidRPr="00097933">
              <w:t>28318,00</w:t>
            </w:r>
          </w:p>
        </w:tc>
        <w:tc>
          <w:tcPr>
            <w:tcW w:w="756" w:type="dxa"/>
            <w:shd w:val="clear" w:color="auto" w:fill="auto"/>
          </w:tcPr>
          <w:p w:rsidR="00687F77" w:rsidRPr="00097933" w:rsidRDefault="00687F77" w:rsidP="00F00313">
            <w:pPr>
              <w:jc w:val="center"/>
            </w:pPr>
            <w:r w:rsidRPr="00097933">
              <w:t>50</w:t>
            </w:r>
          </w:p>
        </w:tc>
        <w:tc>
          <w:tcPr>
            <w:tcW w:w="581" w:type="dxa"/>
            <w:shd w:val="clear" w:color="auto" w:fill="auto"/>
          </w:tcPr>
          <w:p w:rsidR="00687F77" w:rsidRPr="00097933" w:rsidRDefault="00687F77" w:rsidP="00F00313">
            <w:pPr>
              <w:jc w:val="center"/>
            </w:pPr>
            <w:r w:rsidRPr="00097933">
              <w:t>40</w:t>
            </w:r>
          </w:p>
        </w:tc>
        <w:tc>
          <w:tcPr>
            <w:tcW w:w="559" w:type="dxa"/>
            <w:shd w:val="clear" w:color="auto" w:fill="auto"/>
          </w:tcPr>
          <w:p w:rsidR="00687F77" w:rsidRPr="00097933" w:rsidRDefault="00687F77" w:rsidP="00F00313">
            <w:pPr>
              <w:jc w:val="center"/>
            </w:pPr>
            <w:r w:rsidRPr="00097933">
              <w:t>10</w:t>
            </w:r>
          </w:p>
        </w:tc>
        <w:tc>
          <w:tcPr>
            <w:tcW w:w="1150" w:type="dxa"/>
            <w:shd w:val="clear" w:color="auto" w:fill="auto"/>
          </w:tcPr>
          <w:p w:rsidR="00687F77" w:rsidRPr="00097933" w:rsidRDefault="00687F77" w:rsidP="00F00313">
            <w:pPr>
              <w:jc w:val="center"/>
              <w:rPr>
                <w:b/>
              </w:rPr>
            </w:pPr>
            <w:r w:rsidRPr="00097933">
              <w:rPr>
                <w:b/>
              </w:rPr>
              <w:t>100</w:t>
            </w:r>
          </w:p>
        </w:tc>
      </w:tr>
      <w:tr w:rsidR="00687F77" w:rsidRPr="00097933" w:rsidTr="00F00313">
        <w:trPr>
          <w:trHeight w:val="323"/>
        </w:trPr>
        <w:tc>
          <w:tcPr>
            <w:tcW w:w="850" w:type="dxa"/>
            <w:tcBorders>
              <w:top w:val="nil"/>
              <w:left w:val="single" w:sz="4" w:space="0" w:color="auto"/>
              <w:bottom w:val="single" w:sz="4" w:space="0" w:color="auto"/>
              <w:right w:val="single" w:sz="4" w:space="0" w:color="auto"/>
            </w:tcBorders>
            <w:shd w:val="clear" w:color="auto" w:fill="auto"/>
          </w:tcPr>
          <w:p w:rsidR="00687F77" w:rsidRPr="00097933" w:rsidRDefault="00687F77" w:rsidP="00F00313"/>
        </w:tc>
        <w:tc>
          <w:tcPr>
            <w:tcW w:w="2754" w:type="dxa"/>
            <w:tcBorders>
              <w:left w:val="single" w:sz="4" w:space="0" w:color="auto"/>
            </w:tcBorders>
            <w:shd w:val="clear" w:color="auto" w:fill="auto"/>
          </w:tcPr>
          <w:p w:rsidR="00687F77" w:rsidRPr="00097933" w:rsidRDefault="00687F77" w:rsidP="00F00313">
            <w:pPr>
              <w:jc w:val="center"/>
            </w:pPr>
            <w:r w:rsidRPr="00097933">
              <w:t>SIA “VALKS”</w:t>
            </w:r>
            <w:r w:rsidRPr="00097933">
              <w:tab/>
            </w:r>
          </w:p>
        </w:tc>
        <w:tc>
          <w:tcPr>
            <w:tcW w:w="1471" w:type="dxa"/>
            <w:shd w:val="clear" w:color="auto" w:fill="auto"/>
          </w:tcPr>
          <w:p w:rsidR="00687F77" w:rsidRPr="00097933" w:rsidRDefault="00687F77" w:rsidP="00F00313">
            <w:pPr>
              <w:jc w:val="center"/>
            </w:pPr>
            <w:r w:rsidRPr="00097933">
              <w:t>30 354,00</w:t>
            </w:r>
          </w:p>
        </w:tc>
        <w:tc>
          <w:tcPr>
            <w:tcW w:w="1250" w:type="dxa"/>
            <w:shd w:val="clear" w:color="auto" w:fill="auto"/>
          </w:tcPr>
          <w:p w:rsidR="00687F77" w:rsidRPr="00097933" w:rsidRDefault="00687F77" w:rsidP="00F00313">
            <w:pPr>
              <w:jc w:val="center"/>
            </w:pPr>
            <w:r w:rsidRPr="00097933">
              <w:t>28318,00</w:t>
            </w:r>
          </w:p>
        </w:tc>
        <w:tc>
          <w:tcPr>
            <w:tcW w:w="756" w:type="dxa"/>
            <w:shd w:val="clear" w:color="auto" w:fill="auto"/>
          </w:tcPr>
          <w:p w:rsidR="00687F77" w:rsidRPr="00097933" w:rsidRDefault="002F3822" w:rsidP="00F00313">
            <w:pPr>
              <w:jc w:val="center"/>
            </w:pPr>
            <w:r>
              <w:t>46,</w:t>
            </w:r>
            <w:r w:rsidR="00687F77" w:rsidRPr="00097933">
              <w:t>65</w:t>
            </w:r>
          </w:p>
        </w:tc>
        <w:tc>
          <w:tcPr>
            <w:tcW w:w="581" w:type="dxa"/>
            <w:shd w:val="clear" w:color="auto" w:fill="auto"/>
          </w:tcPr>
          <w:p w:rsidR="00687F77" w:rsidRPr="00097933" w:rsidRDefault="00687F77" w:rsidP="00F00313">
            <w:pPr>
              <w:jc w:val="center"/>
            </w:pPr>
            <w:r w:rsidRPr="00097933">
              <w:t>40</w:t>
            </w:r>
          </w:p>
        </w:tc>
        <w:tc>
          <w:tcPr>
            <w:tcW w:w="559" w:type="dxa"/>
            <w:shd w:val="clear" w:color="auto" w:fill="auto"/>
          </w:tcPr>
          <w:p w:rsidR="00687F77" w:rsidRPr="00097933" w:rsidRDefault="00687F77" w:rsidP="00F00313">
            <w:pPr>
              <w:jc w:val="center"/>
            </w:pPr>
            <w:r w:rsidRPr="00097933">
              <w:t>10</w:t>
            </w:r>
          </w:p>
        </w:tc>
        <w:tc>
          <w:tcPr>
            <w:tcW w:w="1150" w:type="dxa"/>
            <w:shd w:val="clear" w:color="auto" w:fill="auto"/>
          </w:tcPr>
          <w:p w:rsidR="00687F77" w:rsidRPr="00097933" w:rsidRDefault="002F3822" w:rsidP="00F00313">
            <w:pPr>
              <w:jc w:val="center"/>
              <w:rPr>
                <w:b/>
              </w:rPr>
            </w:pPr>
            <w:r>
              <w:rPr>
                <w:b/>
              </w:rPr>
              <w:t>96,</w:t>
            </w:r>
            <w:r w:rsidR="00687F77" w:rsidRPr="00097933">
              <w:rPr>
                <w:b/>
              </w:rPr>
              <w:t>65</w:t>
            </w:r>
          </w:p>
        </w:tc>
      </w:tr>
      <w:tr w:rsidR="002F3822" w:rsidRPr="00097933" w:rsidTr="00CE5136">
        <w:trPr>
          <w:trHeight w:val="83"/>
        </w:trPr>
        <w:tc>
          <w:tcPr>
            <w:tcW w:w="9371" w:type="dxa"/>
            <w:gridSpan w:val="8"/>
            <w:tcBorders>
              <w:top w:val="nil"/>
              <w:left w:val="single" w:sz="4" w:space="0" w:color="auto"/>
              <w:bottom w:val="single" w:sz="4" w:space="0" w:color="auto"/>
            </w:tcBorders>
            <w:shd w:val="clear" w:color="auto" w:fill="D9D9D9" w:themeFill="background1" w:themeFillShade="D9"/>
          </w:tcPr>
          <w:p w:rsidR="002F3822" w:rsidRPr="00097933" w:rsidRDefault="002F3822" w:rsidP="00F00313">
            <w:pPr>
              <w:jc w:val="center"/>
              <w:rPr>
                <w:b/>
              </w:rPr>
            </w:pPr>
          </w:p>
        </w:tc>
      </w:tr>
      <w:tr w:rsidR="00687F77" w:rsidRPr="00097933" w:rsidTr="00F00313">
        <w:tblPrEx>
          <w:tblLook w:val="0000" w:firstRow="0" w:lastRow="0" w:firstColumn="0" w:lastColumn="0" w:noHBand="0" w:noVBand="0"/>
        </w:tblPrEx>
        <w:trPr>
          <w:trHeight w:val="415"/>
        </w:trPr>
        <w:tc>
          <w:tcPr>
            <w:tcW w:w="850" w:type="dxa"/>
            <w:vMerge w:val="restart"/>
            <w:shd w:val="clear" w:color="auto" w:fill="auto"/>
          </w:tcPr>
          <w:p w:rsidR="00687F77" w:rsidRPr="00097933" w:rsidRDefault="00687F77" w:rsidP="00F00313">
            <w:pPr>
              <w:jc w:val="center"/>
            </w:pPr>
          </w:p>
          <w:p w:rsidR="00687F77" w:rsidRPr="00097933" w:rsidRDefault="00687F77" w:rsidP="00F00313">
            <w:pPr>
              <w:jc w:val="center"/>
            </w:pPr>
            <w:r w:rsidRPr="00097933">
              <w:rPr>
                <w:b/>
              </w:rPr>
              <w:t>2</w:t>
            </w:r>
            <w:r w:rsidRPr="00097933">
              <w:t>.</w:t>
            </w:r>
          </w:p>
        </w:tc>
        <w:tc>
          <w:tcPr>
            <w:tcW w:w="2754" w:type="dxa"/>
            <w:shd w:val="clear" w:color="auto" w:fill="auto"/>
          </w:tcPr>
          <w:p w:rsidR="00687F77" w:rsidRPr="00097933" w:rsidRDefault="00687F77" w:rsidP="00F00313">
            <w:r w:rsidRPr="00097933">
              <w:t>SIA “BAJARDS”</w:t>
            </w:r>
          </w:p>
        </w:tc>
        <w:tc>
          <w:tcPr>
            <w:tcW w:w="1471" w:type="dxa"/>
            <w:shd w:val="clear" w:color="auto" w:fill="auto"/>
          </w:tcPr>
          <w:p w:rsidR="00687F77" w:rsidRPr="00097933" w:rsidRDefault="00687F77" w:rsidP="00F00313">
            <w:pPr>
              <w:jc w:val="center"/>
            </w:pPr>
            <w:r w:rsidRPr="00097933">
              <w:t xml:space="preserve">24 559,50 </w:t>
            </w:r>
          </w:p>
        </w:tc>
        <w:tc>
          <w:tcPr>
            <w:tcW w:w="1250" w:type="dxa"/>
            <w:shd w:val="clear" w:color="auto" w:fill="auto"/>
          </w:tcPr>
          <w:p w:rsidR="00687F77" w:rsidRPr="00097933" w:rsidRDefault="00687F77" w:rsidP="00F00313">
            <w:pPr>
              <w:jc w:val="center"/>
            </w:pPr>
            <w:r w:rsidRPr="00097933">
              <w:t>24 559,50</w:t>
            </w:r>
          </w:p>
        </w:tc>
        <w:tc>
          <w:tcPr>
            <w:tcW w:w="756" w:type="dxa"/>
            <w:shd w:val="clear" w:color="auto" w:fill="auto"/>
          </w:tcPr>
          <w:p w:rsidR="00687F77" w:rsidRPr="00097933" w:rsidRDefault="00687F77" w:rsidP="00F00313">
            <w:pPr>
              <w:jc w:val="center"/>
            </w:pPr>
            <w:r w:rsidRPr="00097933">
              <w:t>50</w:t>
            </w:r>
          </w:p>
        </w:tc>
        <w:tc>
          <w:tcPr>
            <w:tcW w:w="581" w:type="dxa"/>
            <w:shd w:val="clear" w:color="auto" w:fill="auto"/>
          </w:tcPr>
          <w:p w:rsidR="00687F77" w:rsidRPr="00097933" w:rsidRDefault="00687F77" w:rsidP="00F00313">
            <w:pPr>
              <w:jc w:val="center"/>
            </w:pPr>
            <w:r w:rsidRPr="00097933">
              <w:t>20</w:t>
            </w:r>
          </w:p>
        </w:tc>
        <w:tc>
          <w:tcPr>
            <w:tcW w:w="559" w:type="dxa"/>
            <w:shd w:val="clear" w:color="auto" w:fill="auto"/>
          </w:tcPr>
          <w:p w:rsidR="00687F77" w:rsidRPr="00097933" w:rsidRDefault="00687F77" w:rsidP="00F00313">
            <w:pPr>
              <w:jc w:val="center"/>
            </w:pPr>
            <w:r w:rsidRPr="00097933">
              <w:t>10</w:t>
            </w:r>
          </w:p>
        </w:tc>
        <w:tc>
          <w:tcPr>
            <w:tcW w:w="1150" w:type="dxa"/>
            <w:shd w:val="clear" w:color="auto" w:fill="auto"/>
          </w:tcPr>
          <w:p w:rsidR="00687F77" w:rsidRPr="00097933" w:rsidRDefault="00687F77" w:rsidP="00F00313">
            <w:pPr>
              <w:jc w:val="center"/>
              <w:rPr>
                <w:b/>
              </w:rPr>
            </w:pPr>
            <w:r w:rsidRPr="00097933">
              <w:rPr>
                <w:b/>
              </w:rPr>
              <w:t>80</w:t>
            </w:r>
          </w:p>
        </w:tc>
      </w:tr>
      <w:tr w:rsidR="00687F77" w:rsidRPr="00097933" w:rsidTr="00F00313">
        <w:tblPrEx>
          <w:tblLook w:val="0000" w:firstRow="0" w:lastRow="0" w:firstColumn="0" w:lastColumn="0" w:noHBand="0" w:noVBand="0"/>
        </w:tblPrEx>
        <w:trPr>
          <w:trHeight w:val="154"/>
        </w:trPr>
        <w:tc>
          <w:tcPr>
            <w:tcW w:w="850" w:type="dxa"/>
            <w:vMerge/>
            <w:shd w:val="clear" w:color="auto" w:fill="auto"/>
          </w:tcPr>
          <w:p w:rsidR="00687F77" w:rsidRPr="00097933" w:rsidRDefault="00687F77" w:rsidP="00F00313">
            <w:pPr>
              <w:jc w:val="center"/>
            </w:pPr>
          </w:p>
        </w:tc>
        <w:tc>
          <w:tcPr>
            <w:tcW w:w="2754" w:type="dxa"/>
            <w:shd w:val="clear" w:color="auto" w:fill="auto"/>
          </w:tcPr>
          <w:p w:rsidR="00687F77" w:rsidRPr="00097933" w:rsidRDefault="00687F77" w:rsidP="00F00313">
            <w:r w:rsidRPr="00097933">
              <w:t>Z/s  “Sietiņi”</w:t>
            </w:r>
          </w:p>
        </w:tc>
        <w:tc>
          <w:tcPr>
            <w:tcW w:w="1471" w:type="dxa"/>
            <w:shd w:val="clear" w:color="auto" w:fill="auto"/>
          </w:tcPr>
          <w:p w:rsidR="00687F77" w:rsidRPr="00097933" w:rsidRDefault="00687F77" w:rsidP="00F00313">
            <w:pPr>
              <w:jc w:val="center"/>
            </w:pPr>
            <w:r w:rsidRPr="00097933">
              <w:t>24 920,00</w:t>
            </w:r>
          </w:p>
        </w:tc>
        <w:tc>
          <w:tcPr>
            <w:tcW w:w="1250" w:type="dxa"/>
            <w:shd w:val="clear" w:color="auto" w:fill="auto"/>
          </w:tcPr>
          <w:p w:rsidR="00687F77" w:rsidRPr="00097933" w:rsidRDefault="00687F77" w:rsidP="00F00313">
            <w:pPr>
              <w:jc w:val="center"/>
            </w:pPr>
            <w:r w:rsidRPr="00097933">
              <w:t>24 559,50</w:t>
            </w:r>
          </w:p>
        </w:tc>
        <w:tc>
          <w:tcPr>
            <w:tcW w:w="756" w:type="dxa"/>
            <w:shd w:val="clear" w:color="auto" w:fill="auto"/>
          </w:tcPr>
          <w:p w:rsidR="00687F77" w:rsidRPr="00097933" w:rsidRDefault="002F3822" w:rsidP="00F00313">
            <w:pPr>
              <w:jc w:val="center"/>
            </w:pPr>
            <w:r>
              <w:t>49,</w:t>
            </w:r>
            <w:r w:rsidR="00687F77" w:rsidRPr="00097933">
              <w:t>28</w:t>
            </w:r>
          </w:p>
        </w:tc>
        <w:tc>
          <w:tcPr>
            <w:tcW w:w="581" w:type="dxa"/>
            <w:shd w:val="clear" w:color="auto" w:fill="auto"/>
          </w:tcPr>
          <w:p w:rsidR="00687F77" w:rsidRPr="00097933" w:rsidRDefault="00687F77" w:rsidP="00F00313">
            <w:pPr>
              <w:jc w:val="center"/>
            </w:pPr>
            <w:r w:rsidRPr="00097933">
              <w:t>40</w:t>
            </w:r>
          </w:p>
        </w:tc>
        <w:tc>
          <w:tcPr>
            <w:tcW w:w="559" w:type="dxa"/>
            <w:shd w:val="clear" w:color="auto" w:fill="auto"/>
          </w:tcPr>
          <w:p w:rsidR="00687F77" w:rsidRPr="00097933" w:rsidRDefault="00687F77" w:rsidP="00F00313">
            <w:pPr>
              <w:jc w:val="center"/>
            </w:pPr>
            <w:r w:rsidRPr="00097933">
              <w:t>10</w:t>
            </w:r>
          </w:p>
        </w:tc>
        <w:tc>
          <w:tcPr>
            <w:tcW w:w="1150" w:type="dxa"/>
            <w:shd w:val="clear" w:color="auto" w:fill="auto"/>
          </w:tcPr>
          <w:p w:rsidR="00687F77" w:rsidRPr="00097933" w:rsidRDefault="002F3822" w:rsidP="00F00313">
            <w:pPr>
              <w:jc w:val="center"/>
              <w:rPr>
                <w:b/>
              </w:rPr>
            </w:pPr>
            <w:r>
              <w:rPr>
                <w:b/>
              </w:rPr>
              <w:t>99,</w:t>
            </w:r>
            <w:r w:rsidR="00687F77" w:rsidRPr="00097933">
              <w:rPr>
                <w:b/>
              </w:rPr>
              <w:t>28</w:t>
            </w:r>
          </w:p>
        </w:tc>
      </w:tr>
      <w:tr w:rsidR="002F3822" w:rsidRPr="00097933" w:rsidTr="008E3E05">
        <w:tblPrEx>
          <w:tblLook w:val="0000" w:firstRow="0" w:lastRow="0" w:firstColumn="0" w:lastColumn="0" w:noHBand="0" w:noVBand="0"/>
        </w:tblPrEx>
        <w:trPr>
          <w:trHeight w:val="132"/>
        </w:trPr>
        <w:tc>
          <w:tcPr>
            <w:tcW w:w="9371" w:type="dxa"/>
            <w:gridSpan w:val="8"/>
            <w:shd w:val="clear" w:color="auto" w:fill="D9D9D9" w:themeFill="background1" w:themeFillShade="D9"/>
          </w:tcPr>
          <w:p w:rsidR="002F3822" w:rsidRPr="00097933" w:rsidRDefault="002F3822" w:rsidP="00F00313">
            <w:pPr>
              <w:jc w:val="center"/>
              <w:rPr>
                <w:b/>
              </w:rPr>
            </w:pPr>
          </w:p>
        </w:tc>
      </w:tr>
      <w:tr w:rsidR="00687F77" w:rsidRPr="00097933" w:rsidTr="00F00313">
        <w:tblPrEx>
          <w:tblLook w:val="0000" w:firstRow="0" w:lastRow="0" w:firstColumn="0" w:lastColumn="0" w:noHBand="0" w:noVBand="0"/>
        </w:tblPrEx>
        <w:trPr>
          <w:trHeight w:val="405"/>
        </w:trPr>
        <w:tc>
          <w:tcPr>
            <w:tcW w:w="850" w:type="dxa"/>
            <w:vMerge w:val="restart"/>
            <w:shd w:val="clear" w:color="auto" w:fill="auto"/>
          </w:tcPr>
          <w:p w:rsidR="00687F77" w:rsidRPr="00097933" w:rsidRDefault="00687F77" w:rsidP="00F00313">
            <w:pPr>
              <w:jc w:val="center"/>
              <w:rPr>
                <w:b/>
              </w:rPr>
            </w:pPr>
            <w:r w:rsidRPr="00097933">
              <w:rPr>
                <w:b/>
              </w:rPr>
              <w:t>6.</w:t>
            </w:r>
          </w:p>
        </w:tc>
        <w:tc>
          <w:tcPr>
            <w:tcW w:w="2754" w:type="dxa"/>
            <w:shd w:val="clear" w:color="auto" w:fill="auto"/>
          </w:tcPr>
          <w:p w:rsidR="00687F77" w:rsidRPr="00097933" w:rsidRDefault="00687F77" w:rsidP="00F00313">
            <w:r w:rsidRPr="00097933">
              <w:t>SIA “Kabuleti Fruit”</w:t>
            </w:r>
          </w:p>
        </w:tc>
        <w:tc>
          <w:tcPr>
            <w:tcW w:w="1471" w:type="dxa"/>
            <w:shd w:val="clear" w:color="auto" w:fill="auto"/>
          </w:tcPr>
          <w:p w:rsidR="00687F77" w:rsidRPr="00097933" w:rsidRDefault="00687F77" w:rsidP="00F00313">
            <w:pPr>
              <w:jc w:val="center"/>
            </w:pPr>
            <w:r w:rsidRPr="00097933">
              <w:t>10 780,10</w:t>
            </w:r>
          </w:p>
        </w:tc>
        <w:tc>
          <w:tcPr>
            <w:tcW w:w="1250" w:type="dxa"/>
            <w:shd w:val="clear" w:color="auto" w:fill="auto"/>
          </w:tcPr>
          <w:p w:rsidR="00687F77" w:rsidRPr="00097933" w:rsidRDefault="00687F77" w:rsidP="00F00313">
            <w:pPr>
              <w:jc w:val="center"/>
            </w:pPr>
            <w:r w:rsidRPr="00097933">
              <w:t>10 780,10</w:t>
            </w:r>
          </w:p>
        </w:tc>
        <w:tc>
          <w:tcPr>
            <w:tcW w:w="756" w:type="dxa"/>
            <w:shd w:val="clear" w:color="auto" w:fill="auto"/>
          </w:tcPr>
          <w:p w:rsidR="00687F77" w:rsidRPr="00097933" w:rsidRDefault="00687F77" w:rsidP="00F00313">
            <w:pPr>
              <w:jc w:val="center"/>
            </w:pPr>
            <w:r w:rsidRPr="00097933">
              <w:t>50</w:t>
            </w:r>
          </w:p>
        </w:tc>
        <w:tc>
          <w:tcPr>
            <w:tcW w:w="581" w:type="dxa"/>
            <w:shd w:val="clear" w:color="auto" w:fill="auto"/>
          </w:tcPr>
          <w:p w:rsidR="00687F77" w:rsidRPr="00097933" w:rsidRDefault="00687F77" w:rsidP="00F00313">
            <w:pPr>
              <w:jc w:val="center"/>
            </w:pPr>
            <w:r w:rsidRPr="00097933">
              <w:t>20</w:t>
            </w:r>
          </w:p>
        </w:tc>
        <w:tc>
          <w:tcPr>
            <w:tcW w:w="559" w:type="dxa"/>
            <w:shd w:val="clear" w:color="auto" w:fill="auto"/>
          </w:tcPr>
          <w:p w:rsidR="00687F77" w:rsidRPr="00097933" w:rsidRDefault="00687F77" w:rsidP="00F00313">
            <w:pPr>
              <w:jc w:val="center"/>
            </w:pPr>
            <w:r w:rsidRPr="00097933">
              <w:t>10</w:t>
            </w:r>
          </w:p>
        </w:tc>
        <w:tc>
          <w:tcPr>
            <w:tcW w:w="1150" w:type="dxa"/>
            <w:shd w:val="clear" w:color="auto" w:fill="auto"/>
          </w:tcPr>
          <w:p w:rsidR="00687F77" w:rsidRPr="00097933" w:rsidRDefault="00687F77" w:rsidP="00F00313">
            <w:pPr>
              <w:jc w:val="center"/>
              <w:rPr>
                <w:b/>
              </w:rPr>
            </w:pPr>
            <w:r w:rsidRPr="00097933">
              <w:rPr>
                <w:b/>
              </w:rPr>
              <w:t>80</w:t>
            </w:r>
          </w:p>
        </w:tc>
      </w:tr>
      <w:tr w:rsidR="00687F77" w:rsidRPr="00097933" w:rsidTr="00F00313">
        <w:tblPrEx>
          <w:tblLook w:val="0000" w:firstRow="0" w:lastRow="0" w:firstColumn="0" w:lastColumn="0" w:noHBand="0" w:noVBand="0"/>
        </w:tblPrEx>
        <w:trPr>
          <w:trHeight w:val="284"/>
        </w:trPr>
        <w:tc>
          <w:tcPr>
            <w:tcW w:w="850" w:type="dxa"/>
            <w:vMerge/>
            <w:shd w:val="clear" w:color="auto" w:fill="auto"/>
          </w:tcPr>
          <w:p w:rsidR="00687F77" w:rsidRPr="00097933" w:rsidRDefault="00687F77" w:rsidP="00F00313">
            <w:pPr>
              <w:jc w:val="center"/>
            </w:pPr>
          </w:p>
        </w:tc>
        <w:tc>
          <w:tcPr>
            <w:tcW w:w="2754" w:type="dxa"/>
            <w:shd w:val="clear" w:color="auto" w:fill="auto"/>
          </w:tcPr>
          <w:p w:rsidR="00687F77" w:rsidRPr="00097933" w:rsidRDefault="00687F77" w:rsidP="00F00313">
            <w:r w:rsidRPr="00097933">
              <w:t>A/S “Premia FFL”</w:t>
            </w:r>
          </w:p>
        </w:tc>
        <w:tc>
          <w:tcPr>
            <w:tcW w:w="1471" w:type="dxa"/>
            <w:shd w:val="clear" w:color="auto" w:fill="auto"/>
          </w:tcPr>
          <w:p w:rsidR="00687F77" w:rsidRPr="00097933" w:rsidRDefault="00687F77" w:rsidP="00F00313">
            <w:pPr>
              <w:jc w:val="center"/>
            </w:pPr>
            <w:r w:rsidRPr="00097933">
              <w:t>15 742,70</w:t>
            </w:r>
          </w:p>
        </w:tc>
        <w:tc>
          <w:tcPr>
            <w:tcW w:w="1250" w:type="dxa"/>
            <w:shd w:val="clear" w:color="auto" w:fill="auto"/>
          </w:tcPr>
          <w:p w:rsidR="00687F77" w:rsidRPr="00097933" w:rsidRDefault="00687F77" w:rsidP="00F00313">
            <w:pPr>
              <w:jc w:val="center"/>
            </w:pPr>
            <w:r w:rsidRPr="00097933">
              <w:t>10 780,10</w:t>
            </w:r>
          </w:p>
        </w:tc>
        <w:tc>
          <w:tcPr>
            <w:tcW w:w="756" w:type="dxa"/>
            <w:shd w:val="clear" w:color="auto" w:fill="auto"/>
          </w:tcPr>
          <w:p w:rsidR="00687F77" w:rsidRPr="00097933" w:rsidRDefault="002F3822" w:rsidP="00F00313">
            <w:pPr>
              <w:jc w:val="center"/>
            </w:pPr>
            <w:r>
              <w:t>34,</w:t>
            </w:r>
            <w:r w:rsidR="00687F77" w:rsidRPr="00097933">
              <w:t>24</w:t>
            </w:r>
          </w:p>
        </w:tc>
        <w:tc>
          <w:tcPr>
            <w:tcW w:w="581" w:type="dxa"/>
            <w:shd w:val="clear" w:color="auto" w:fill="auto"/>
          </w:tcPr>
          <w:p w:rsidR="00687F77" w:rsidRPr="00097933" w:rsidRDefault="00687F77" w:rsidP="00F00313">
            <w:pPr>
              <w:jc w:val="center"/>
            </w:pPr>
            <w:r w:rsidRPr="00097933">
              <w:t>10</w:t>
            </w:r>
          </w:p>
        </w:tc>
        <w:tc>
          <w:tcPr>
            <w:tcW w:w="559" w:type="dxa"/>
            <w:shd w:val="clear" w:color="auto" w:fill="auto"/>
          </w:tcPr>
          <w:p w:rsidR="00687F77" w:rsidRPr="00097933" w:rsidRDefault="00687F77" w:rsidP="00F00313">
            <w:pPr>
              <w:jc w:val="center"/>
            </w:pPr>
            <w:r w:rsidRPr="00097933">
              <w:t>10</w:t>
            </w:r>
          </w:p>
        </w:tc>
        <w:tc>
          <w:tcPr>
            <w:tcW w:w="1150" w:type="dxa"/>
            <w:shd w:val="clear" w:color="auto" w:fill="auto"/>
          </w:tcPr>
          <w:p w:rsidR="00687F77" w:rsidRPr="00097933" w:rsidRDefault="002F3822" w:rsidP="00F00313">
            <w:pPr>
              <w:jc w:val="center"/>
              <w:rPr>
                <w:b/>
              </w:rPr>
            </w:pPr>
            <w:r>
              <w:rPr>
                <w:b/>
              </w:rPr>
              <w:t>54,</w:t>
            </w:r>
            <w:r w:rsidR="00687F77" w:rsidRPr="00097933">
              <w:rPr>
                <w:b/>
              </w:rPr>
              <w:t>24</w:t>
            </w:r>
          </w:p>
        </w:tc>
      </w:tr>
    </w:tbl>
    <w:p w:rsidR="00687F77" w:rsidRPr="005D581C" w:rsidRDefault="00687F77" w:rsidP="00687F77">
      <w:pPr>
        <w:ind w:left="142"/>
        <w:jc w:val="both"/>
        <w:rPr>
          <w:color w:val="7030A0"/>
        </w:rPr>
      </w:pPr>
    </w:p>
    <w:p w:rsidR="00687F77" w:rsidRPr="005D581C" w:rsidRDefault="00687F77" w:rsidP="00687F77">
      <w:pPr>
        <w:ind w:firstLine="720"/>
        <w:jc w:val="both"/>
        <w:rPr>
          <w:color w:val="7030A0"/>
        </w:rPr>
      </w:pPr>
      <w:r w:rsidRPr="00742EFE">
        <w:t xml:space="preserve">7.5. </w:t>
      </w:r>
      <w:r w:rsidR="001E5759">
        <w:t>k</w:t>
      </w:r>
      <w:r w:rsidRPr="00742EFE">
        <w:t xml:space="preserve">omisija, atklāti balsojot, </w:t>
      </w:r>
      <w:r w:rsidRPr="0057698B">
        <w:t>PAR- 6 (D.Svētiņa, G.Majore, D.Kļaviņa, A.Ozola, A.Pastars, I.Pabērza) balsis, PRET- (nav) balsis, nosaka, ka saskaņā ar atklātā konkursa nolikumā noteikto kritēriju – saimnieciski visizdevīgāko</w:t>
      </w:r>
      <w:r w:rsidRPr="006C0556">
        <w:t xml:space="preserve"> piedāvājumu,  līguma slēgšanas tiesības būtu piešķiramas: </w:t>
      </w:r>
      <w:r w:rsidRPr="006C0556">
        <w:rPr>
          <w:b/>
        </w:rPr>
        <w:t>1.daļā</w:t>
      </w:r>
      <w:r w:rsidRPr="006C0556">
        <w:t xml:space="preserve"> – </w:t>
      </w:r>
      <w:r w:rsidR="001E5759">
        <w:t>“</w:t>
      </w:r>
      <w:r w:rsidRPr="006C0556">
        <w:t>Piens un piena pārstrādes produkti</w:t>
      </w:r>
      <w:r w:rsidR="001E5759">
        <w:t>”</w:t>
      </w:r>
      <w:r w:rsidRPr="006C0556">
        <w:t xml:space="preserve">  pretendentam  A/S “Preiļu siers”</w:t>
      </w:r>
      <w:r w:rsidR="001E5759" w:rsidRPr="001E5759">
        <w:t xml:space="preserve"> </w:t>
      </w:r>
      <w:r w:rsidR="001E5759">
        <w:t>(28318,00 EUR bez PVN)</w:t>
      </w:r>
      <w:r w:rsidRPr="006C0556">
        <w:t xml:space="preserve">, </w:t>
      </w:r>
      <w:r w:rsidRPr="006C0556">
        <w:rPr>
          <w:b/>
        </w:rPr>
        <w:t>2.daļā</w:t>
      </w:r>
      <w:r w:rsidRPr="006C0556">
        <w:t xml:space="preserve"> – </w:t>
      </w:r>
      <w:r w:rsidR="001E5759">
        <w:t>“</w:t>
      </w:r>
      <w:r w:rsidRPr="006C0556">
        <w:t>Nesaldēta svaiga cūkgaļa un svaigas cūkgaļas produkti</w:t>
      </w:r>
      <w:r w:rsidR="001E5759">
        <w:t>”</w:t>
      </w:r>
      <w:r w:rsidRPr="006C0556">
        <w:t xml:space="preserve"> pretendentam Z/S “Sietiņi” </w:t>
      </w:r>
      <w:r w:rsidR="001E5759">
        <w:t xml:space="preserve">(24920,00 EUR bez PVN) </w:t>
      </w:r>
      <w:r w:rsidRPr="006C0556">
        <w:t xml:space="preserve">un </w:t>
      </w:r>
      <w:r w:rsidRPr="006C0556">
        <w:rPr>
          <w:b/>
        </w:rPr>
        <w:t>6.daļā</w:t>
      </w:r>
      <w:r w:rsidRPr="006C0556">
        <w:t xml:space="preserve"> </w:t>
      </w:r>
      <w:r w:rsidR="001E5759">
        <w:t>–</w:t>
      </w:r>
      <w:r w:rsidRPr="006C0556">
        <w:t xml:space="preserve"> </w:t>
      </w:r>
      <w:r w:rsidR="001E5759">
        <w:t>“</w:t>
      </w:r>
      <w:r w:rsidRPr="006C0556">
        <w:t>Saldēti pārtikas produkti</w:t>
      </w:r>
      <w:r w:rsidR="001E5759">
        <w:t>”</w:t>
      </w:r>
      <w:r w:rsidRPr="006C0556">
        <w:t xml:space="preserve"> pr</w:t>
      </w:r>
      <w:r w:rsidR="001E5759">
        <w:t>etendentam SIA “Kabuleti Fruit”</w:t>
      </w:r>
      <w:r w:rsidR="001E5759" w:rsidRPr="001E5759">
        <w:t xml:space="preserve"> </w:t>
      </w:r>
      <w:r w:rsidR="001E5759">
        <w:t>(10</w:t>
      </w:r>
      <w:r w:rsidR="001E5759" w:rsidRPr="00B120B2">
        <w:t>780,10</w:t>
      </w:r>
      <w:r w:rsidR="001E5759">
        <w:t xml:space="preserve"> EUR bez PVN).</w:t>
      </w:r>
    </w:p>
    <w:p w:rsidR="00687F77" w:rsidRPr="0000324D" w:rsidRDefault="00687F77" w:rsidP="00687F77">
      <w:pPr>
        <w:ind w:firstLine="720"/>
        <w:jc w:val="center"/>
        <w:rPr>
          <w:b/>
        </w:rPr>
      </w:pPr>
    </w:p>
    <w:p w:rsidR="00E83584" w:rsidRDefault="00687F77" w:rsidP="00687F77">
      <w:pPr>
        <w:ind w:firstLine="720"/>
        <w:jc w:val="center"/>
        <w:rPr>
          <w:b/>
        </w:rPr>
      </w:pPr>
      <w:r w:rsidRPr="0000324D">
        <w:rPr>
          <w:b/>
        </w:rPr>
        <w:t xml:space="preserve">8. </w:t>
      </w:r>
    </w:p>
    <w:p w:rsidR="00687F77" w:rsidRDefault="00687F77" w:rsidP="00687F77">
      <w:pPr>
        <w:ind w:firstLine="720"/>
        <w:jc w:val="center"/>
        <w:rPr>
          <w:b/>
        </w:rPr>
      </w:pPr>
      <w:r w:rsidRPr="0000324D">
        <w:rPr>
          <w:b/>
        </w:rPr>
        <w:t>Piedāvājumu izvērtēšana atbilstoši Publisko iepirkumu likuma 53.panta prasībām</w:t>
      </w:r>
    </w:p>
    <w:p w:rsidR="00E83584" w:rsidRDefault="00E83584" w:rsidP="00687F77">
      <w:pPr>
        <w:ind w:firstLine="720"/>
        <w:jc w:val="center"/>
      </w:pPr>
    </w:p>
    <w:p w:rsidR="00687F77" w:rsidRDefault="00687F77" w:rsidP="00687F77">
      <w:pPr>
        <w:ind w:firstLine="720"/>
        <w:jc w:val="both"/>
      </w:pPr>
      <w:r w:rsidRPr="0000324D">
        <w:t xml:space="preserve">Pārbaudot un izvērtējot pretendentu iesniegtos piedāvājumus, komisija konstatē, ka </w:t>
      </w:r>
      <w:r w:rsidRPr="006C0556">
        <w:t>SIA “Kabuleti Fruit”, Z/s  “Sietiņi”, SIA “FUTURUS FOOD”, A/S “Preiļu siers”, SIA “FOREVERS” un  SIA “Vecā maiznīca”</w:t>
      </w:r>
      <w:r w:rsidRPr="0000324D">
        <w:t xml:space="preserve"> iesniegtie piedāvājumi nav nepamatoti lēti un piedāvātās cenas atbilst ražošanas izmaksām un tirgus pieprasījumam</w:t>
      </w:r>
      <w:r>
        <w:t>,</w:t>
      </w:r>
      <w:r w:rsidRPr="0000324D">
        <w:t xml:space="preserve"> lai savlaicīgi un kvalitatīvi veiktu pārtikas produktu piegādi Kokn</w:t>
      </w:r>
      <w:r>
        <w:t xml:space="preserve">ese novada pašvaldības iestādēm, tāpēc </w:t>
      </w:r>
      <w:r w:rsidRPr="0000324D">
        <w:t>nav nepieciešams pieprasīt skaidrojumu par piedāvāto cenu vai izmaksām saskaņā ar PIL 53.pantu.</w:t>
      </w:r>
    </w:p>
    <w:p w:rsidR="00687F77" w:rsidRDefault="00687F77" w:rsidP="00687F77">
      <w:pPr>
        <w:ind w:firstLine="720"/>
        <w:jc w:val="both"/>
      </w:pPr>
    </w:p>
    <w:p w:rsidR="00E83584" w:rsidRDefault="00687F77" w:rsidP="00687F77">
      <w:pPr>
        <w:ind w:firstLine="720"/>
        <w:jc w:val="center"/>
        <w:rPr>
          <w:b/>
        </w:rPr>
      </w:pPr>
      <w:r w:rsidRPr="0000324D">
        <w:rPr>
          <w:b/>
        </w:rPr>
        <w:t>9.</w:t>
      </w:r>
    </w:p>
    <w:p w:rsidR="00687F77" w:rsidRDefault="00687F77" w:rsidP="00687F77">
      <w:pPr>
        <w:ind w:firstLine="720"/>
        <w:jc w:val="center"/>
        <w:rPr>
          <w:b/>
        </w:rPr>
      </w:pPr>
      <w:r w:rsidRPr="0000324D">
        <w:rPr>
          <w:b/>
        </w:rPr>
        <w:t xml:space="preserve"> Informācijas pārbaude no Sodu reģistra, Uzņēmumu reģistra un nodokļu </w:t>
      </w:r>
      <w:r w:rsidR="00E83584">
        <w:rPr>
          <w:b/>
        </w:rPr>
        <w:t xml:space="preserve">nomaksas </w:t>
      </w:r>
      <w:r w:rsidRPr="0000324D">
        <w:rPr>
          <w:b/>
        </w:rPr>
        <w:t>pārbaude</w:t>
      </w:r>
    </w:p>
    <w:p w:rsidR="00E83584" w:rsidRPr="0000324D" w:rsidRDefault="00E83584" w:rsidP="00687F77">
      <w:pPr>
        <w:ind w:firstLine="720"/>
        <w:jc w:val="center"/>
        <w:rPr>
          <w:b/>
        </w:rPr>
      </w:pPr>
    </w:p>
    <w:p w:rsidR="00687F77" w:rsidRDefault="00687F77" w:rsidP="00687F77">
      <w:pPr>
        <w:ind w:firstLine="720"/>
        <w:jc w:val="both"/>
      </w:pPr>
      <w:r>
        <w:t>9</w:t>
      </w:r>
      <w:r w:rsidR="008B2CE7">
        <w:t>.1. Iepirkuma komisija pārbauda</w:t>
      </w:r>
      <w:r>
        <w:t xml:space="preserve"> vai uz Pretendentu, kuram būtu piešķiramas līguma slēgšanas tiesības</w:t>
      </w:r>
      <w:r w:rsidR="008B2CE7">
        <w:t>,</w:t>
      </w:r>
      <w:r>
        <w:t xml:space="preserve"> neattiecas PIL 42.panta pirmajā daļā minētie izslēgšanas nosacījumi. Komisija, izmantojot Ministru kabinet</w:t>
      </w:r>
      <w:r w:rsidR="008B2CE7">
        <w:t>a noteikto informācijas sistēmu un</w:t>
      </w:r>
      <w:r>
        <w:t xml:space="preserve"> Ministru kabineta noteiktajā kārtībā</w:t>
      </w:r>
      <w:r w:rsidR="008B2CE7">
        <w:t>,</w:t>
      </w:r>
      <w:r>
        <w:t xml:space="preserve"> iegūst informāciju - par PIL 42.panta pirmās daļas 1., 6., 7. punktā minētajiem pārkāpumiem un noziedzīgajiem nodarījumiem – no Iekšlietu ministrijas Informācijas centra (Sodu reģistra), par PIL 42.panta pirmās daļas 1. un 3.punktā minētajiem faktiem – no Uzņēmumu reģistra un  par PIL 42.panta pirmās daļas 2.punktā minēto faktu – no Valsts ieņēmumu dienesta.</w:t>
      </w:r>
    </w:p>
    <w:p w:rsidR="00687F77" w:rsidRDefault="00687F77" w:rsidP="00687F77">
      <w:pPr>
        <w:ind w:firstLine="720"/>
        <w:jc w:val="both"/>
      </w:pPr>
      <w:r>
        <w:t xml:space="preserve">9.2. Iepirkumu komisija pārbauda un konstatē, ka </w:t>
      </w:r>
      <w:r w:rsidRPr="006C0556">
        <w:t>SIA “Kabuleti Fruit”, Z/s  “Sietiņi”, SIA “FUTURUS FOOD”, A/S “Preiļu siers”, SIA “FOREVERS” un  SIA “Vecā maiznīca”</w:t>
      </w:r>
      <w:r>
        <w:t xml:space="preserve"> nav tādu tiesību aktu (tai skaitā profesionālās darbības) pārkāpumu (vai ir konkurences tiesību pārkāpuma gadījums, bet kurā par sadarbību iecietības programmas ietvaros persona ir atbrīvota no naudas soda vai naudas sods samazināts), par kuriem pretendenti izslēdzami no dalības iepirkuma procedūrā, vai kompetentās institūcijas lēmums, prokurora priekšraksts par sodu vai tiesas spriedums par tiesību aktu pārkāpumiem, par kuriem pretendenti izslēdzami no dalības iepirkuma </w:t>
      </w:r>
      <w:r>
        <w:lastRenderedPageBreak/>
        <w:t>procedūrā, nav stājies spēkā un nav kļuvis neapstrīdams un nepārsūdzams vai par kuriem nav iestājies iepirkumus regulējošos tiesību aktos paredzētais noilgums.</w:t>
      </w:r>
    </w:p>
    <w:p w:rsidR="00687F77" w:rsidRDefault="00687F77" w:rsidP="00687F77">
      <w:pPr>
        <w:ind w:firstLine="720"/>
        <w:jc w:val="both"/>
      </w:pPr>
      <w:r>
        <w:t xml:space="preserve">9.3. Iepirkumu komisija pārbauda un konstatē, ka Uzņēmumu reģistrā nav aktuālo datu par </w:t>
      </w:r>
      <w:r w:rsidRPr="008D6760">
        <w:t>SIA “Kabuleti Fruit”, Z/s  “Sietiņi”, SIA “FUTURUS FOOD”, A/S “Preiļu siers”, SIA “FOREVERS” un  SIA “Vecā maiznīca”</w:t>
      </w:r>
      <w:r>
        <w:t xml:space="preserve"> maksātnespējas procesu, likvidāciju vai apturētu saimniecisko darbību. </w:t>
      </w:r>
    </w:p>
    <w:p w:rsidR="00687F77" w:rsidRDefault="00687F77" w:rsidP="00687F77">
      <w:pPr>
        <w:ind w:firstLine="720"/>
        <w:jc w:val="both"/>
      </w:pPr>
      <w:r>
        <w:t xml:space="preserve">9.4. Iepirkumu komisija pārbauda un konstatē, ka saskaņā ar VID administrēto nodokļu (nodevu) parādnieku datu bāzē vai Nekustamā īpašuma nodokļa administrēšanas sistēmas pēdējās datu aktualizācijas datumā, pretendentiem </w:t>
      </w:r>
      <w:r w:rsidRPr="008D6760">
        <w:t>SIA “Kabuleti Fruit”, Z/s  “Sietiņi”, SIA “FUTURUS FOOD”, A/S “Preiļu siers”, SIA “FOREVERS” un  SIA “Vecā maiznīca”</w:t>
      </w:r>
      <w:r>
        <w:t xml:space="preserve"> nav nodokļu parādi, kas kopsummā pārsniedz 150 euro piedāvājuma iesniegšanas termiņa pēdējā dienā (2017.gada 8.novembrī), kā arī dienā (2017.</w:t>
      </w:r>
      <w:r w:rsidRPr="00742EFE">
        <w:t>gada 21. novembrī),</w:t>
      </w:r>
      <w:r>
        <w:t xml:space="preserve"> kad pieņemts lēmums par iespējamu iepirkuma līguma slēgšanas tiesību piešķiršanu.</w:t>
      </w:r>
    </w:p>
    <w:p w:rsidR="00AF75BA" w:rsidRDefault="00AF75BA" w:rsidP="00687F77">
      <w:pPr>
        <w:ind w:firstLine="720"/>
        <w:jc w:val="both"/>
      </w:pPr>
    </w:p>
    <w:p w:rsidR="00AF75BA" w:rsidRDefault="00AF75BA" w:rsidP="00AF75BA">
      <w:pPr>
        <w:jc w:val="center"/>
        <w:rPr>
          <w:b/>
          <w:color w:val="000000" w:themeColor="text1"/>
        </w:rPr>
      </w:pPr>
      <w:r w:rsidRPr="00AF75BA">
        <w:rPr>
          <w:b/>
          <w:color w:val="000000" w:themeColor="text1"/>
        </w:rPr>
        <w:t xml:space="preserve">10. </w:t>
      </w:r>
    </w:p>
    <w:p w:rsidR="00AF75BA" w:rsidRPr="00AF75BA" w:rsidRDefault="00AF75BA" w:rsidP="00AF75BA">
      <w:pPr>
        <w:jc w:val="center"/>
        <w:rPr>
          <w:b/>
          <w:color w:val="000000" w:themeColor="text1"/>
        </w:rPr>
      </w:pPr>
      <w:r w:rsidRPr="00AF75BA">
        <w:rPr>
          <w:b/>
          <w:color w:val="000000" w:themeColor="text1"/>
        </w:rPr>
        <w:t>Lēmuma pieņemšana par iepirkuma līgumu slēgšanu</w:t>
      </w:r>
    </w:p>
    <w:p w:rsidR="00687F77" w:rsidRDefault="00687F77" w:rsidP="00687F77">
      <w:pPr>
        <w:ind w:firstLine="720"/>
        <w:jc w:val="both"/>
      </w:pPr>
    </w:p>
    <w:p w:rsidR="00687F77" w:rsidRDefault="00312A95" w:rsidP="00687F77">
      <w:pPr>
        <w:ind w:firstLine="720"/>
        <w:jc w:val="both"/>
      </w:pPr>
      <w:r>
        <w:t xml:space="preserve">10.1. </w:t>
      </w:r>
      <w:r w:rsidR="00687F77">
        <w:t>Iepirkumu k</w:t>
      </w:r>
      <w:r w:rsidR="00687F77" w:rsidRPr="008D6760">
        <w:t>omisija</w:t>
      </w:r>
      <w:r w:rsidR="00687F77">
        <w:t xml:space="preserve">, </w:t>
      </w:r>
      <w:r w:rsidR="00687F77" w:rsidRPr="008D6760">
        <w:t xml:space="preserve"> </w:t>
      </w:r>
      <w:r w:rsidR="00687F77" w:rsidRPr="00DC41FD">
        <w:t>atklāti balsojot, PAR- 6 (D.Svētiņa, G.Majore, D.Kļaviņa, A.Ozola, A.Pastars, I.Pabērza) balsis, PRET- (nav) balsis</w:t>
      </w:r>
      <w:r w:rsidR="00687F77">
        <w:t>,</w:t>
      </w:r>
      <w:r w:rsidR="00687F77" w:rsidRPr="00DC41FD">
        <w:t xml:space="preserve"> </w:t>
      </w:r>
      <w:r w:rsidR="00687F77" w:rsidRPr="008D6760">
        <w:t>nol</w:t>
      </w:r>
      <w:r w:rsidR="00687F77">
        <w:t>e</w:t>
      </w:r>
      <w:r w:rsidR="00687F77" w:rsidRPr="008D6760">
        <w:t>m</w:t>
      </w:r>
      <w:r w:rsidR="00687F77">
        <w:t>j Atklātā konkursā „Pārtikas produktu piegāde Kokneses novada pašvaldības izglītības iestāžu vajadzībām 2018.gadā” ar identifikācijas Nr. KND-2017/17</w:t>
      </w:r>
      <w:r w:rsidR="00AF75BA">
        <w:t>,</w:t>
      </w:r>
      <w:r w:rsidR="00687F77">
        <w:t xml:space="preserve"> </w:t>
      </w:r>
      <w:r w:rsidR="00687F77" w:rsidRPr="008D6760">
        <w:t>slēgt iepirkuma līgumus</w:t>
      </w:r>
      <w:r w:rsidR="00687F77">
        <w:t xml:space="preserve"> ar sekojošiem pretendentiem</w:t>
      </w:r>
      <w:r w:rsidR="00687F77" w:rsidRPr="008D6760">
        <w:t>:</w:t>
      </w:r>
    </w:p>
    <w:p w:rsidR="00687F77" w:rsidRDefault="00687F77" w:rsidP="00687F77">
      <w:pPr>
        <w:ind w:firstLine="720"/>
        <w:jc w:val="both"/>
      </w:pPr>
      <w:r w:rsidRPr="00F97990">
        <w:rPr>
          <w:b/>
        </w:rPr>
        <w:t>1.daļa</w:t>
      </w:r>
      <w:r>
        <w:t xml:space="preserve"> – </w:t>
      </w:r>
      <w:r w:rsidR="00C10228">
        <w:t>“</w:t>
      </w:r>
      <w:r>
        <w:t>Piens un piena pārstrādes produkti</w:t>
      </w:r>
      <w:r w:rsidR="00C10228">
        <w:t>”</w:t>
      </w:r>
      <w:r>
        <w:t xml:space="preserve"> </w:t>
      </w:r>
      <w:r w:rsidR="00C10228">
        <w:t>ar</w:t>
      </w:r>
      <w:r>
        <w:t xml:space="preserve"> </w:t>
      </w:r>
      <w:r w:rsidRPr="00F97990">
        <w:rPr>
          <w:b/>
        </w:rPr>
        <w:t>A/S “Preiļu siers”</w:t>
      </w:r>
      <w:r w:rsidRPr="00F97990">
        <w:t>;</w:t>
      </w:r>
    </w:p>
    <w:p w:rsidR="00687F77" w:rsidRDefault="00687F77" w:rsidP="00687F77">
      <w:pPr>
        <w:ind w:firstLine="720"/>
        <w:jc w:val="both"/>
      </w:pPr>
      <w:r w:rsidRPr="00F97990">
        <w:rPr>
          <w:b/>
        </w:rPr>
        <w:t>2.daļa</w:t>
      </w:r>
      <w:r>
        <w:t xml:space="preserve"> – </w:t>
      </w:r>
      <w:r w:rsidR="00C10228">
        <w:t>“</w:t>
      </w:r>
      <w:r>
        <w:t>Nesaldēta svaiga cūkgaļa un svaigas cūkgaļas produkti</w:t>
      </w:r>
      <w:r w:rsidR="00C10228">
        <w:t>”</w:t>
      </w:r>
      <w:r>
        <w:t xml:space="preserve"> </w:t>
      </w:r>
      <w:r w:rsidR="00C10228">
        <w:t>ar</w:t>
      </w:r>
      <w:r>
        <w:t xml:space="preserve"> </w:t>
      </w:r>
      <w:r w:rsidRPr="00F97990">
        <w:rPr>
          <w:b/>
        </w:rPr>
        <w:t>Z/S “Sietiņi”</w:t>
      </w:r>
      <w:r w:rsidRPr="00F97990">
        <w:t>;</w:t>
      </w:r>
    </w:p>
    <w:p w:rsidR="00687F77" w:rsidRPr="00F97990" w:rsidRDefault="00687F77" w:rsidP="00687F77">
      <w:pPr>
        <w:ind w:firstLine="720"/>
        <w:jc w:val="both"/>
        <w:rPr>
          <w:b/>
        </w:rPr>
      </w:pPr>
      <w:r w:rsidRPr="00F97990">
        <w:rPr>
          <w:b/>
        </w:rPr>
        <w:t>3.daļa</w:t>
      </w:r>
      <w:r>
        <w:t xml:space="preserve"> – </w:t>
      </w:r>
      <w:r w:rsidR="00C10228">
        <w:t>“</w:t>
      </w:r>
      <w:r>
        <w:t>Fasēti pārtikas produkti</w:t>
      </w:r>
      <w:r w:rsidR="00C10228">
        <w:t>”</w:t>
      </w:r>
      <w:r>
        <w:t xml:space="preserve"> </w:t>
      </w:r>
      <w:r w:rsidR="00C10228">
        <w:t>ar</w:t>
      </w:r>
      <w:r>
        <w:t xml:space="preserve"> </w:t>
      </w:r>
      <w:r w:rsidRPr="00F97990">
        <w:rPr>
          <w:b/>
        </w:rPr>
        <w:t>SIA “FUTURUS FOOD”</w:t>
      </w:r>
      <w:r w:rsidRPr="00F97990">
        <w:t>;</w:t>
      </w:r>
    </w:p>
    <w:p w:rsidR="00687F77" w:rsidRPr="00F97990" w:rsidRDefault="00687F77" w:rsidP="00687F77">
      <w:pPr>
        <w:ind w:firstLine="720"/>
        <w:jc w:val="both"/>
        <w:rPr>
          <w:b/>
        </w:rPr>
      </w:pPr>
      <w:r w:rsidRPr="00F97990">
        <w:rPr>
          <w:b/>
        </w:rPr>
        <w:t>4.daļa</w:t>
      </w:r>
      <w:r>
        <w:t xml:space="preserve"> – </w:t>
      </w:r>
      <w:r w:rsidR="00C10228">
        <w:t>“Maize un maizes izstrādājumi” ar</w:t>
      </w:r>
      <w:r>
        <w:t xml:space="preserve"> </w:t>
      </w:r>
      <w:r w:rsidRPr="00F97990">
        <w:rPr>
          <w:b/>
        </w:rPr>
        <w:t>SIA “Vecā maiznīca”</w:t>
      </w:r>
      <w:r w:rsidRPr="00F97990">
        <w:t>;</w:t>
      </w:r>
    </w:p>
    <w:p w:rsidR="00687F77" w:rsidRPr="00F97990" w:rsidRDefault="00687F77" w:rsidP="00687F77">
      <w:pPr>
        <w:ind w:firstLine="720"/>
        <w:jc w:val="both"/>
        <w:rPr>
          <w:b/>
        </w:rPr>
      </w:pPr>
      <w:r w:rsidRPr="00F97990">
        <w:rPr>
          <w:b/>
        </w:rPr>
        <w:t>5.daļa</w:t>
      </w:r>
      <w:r>
        <w:t xml:space="preserve"> – </w:t>
      </w:r>
      <w:r w:rsidR="00C10228">
        <w:t>“</w:t>
      </w:r>
      <w:r>
        <w:t>Gaļas izstrādājumi</w:t>
      </w:r>
      <w:r w:rsidR="00C10228">
        <w:t>”</w:t>
      </w:r>
      <w:r>
        <w:t xml:space="preserve"> </w:t>
      </w:r>
      <w:r w:rsidR="00C10228">
        <w:t>ar</w:t>
      </w:r>
      <w:r>
        <w:t xml:space="preserve"> </w:t>
      </w:r>
      <w:r w:rsidRPr="00F97990">
        <w:rPr>
          <w:b/>
        </w:rPr>
        <w:t>SIA “FOREVERS”</w:t>
      </w:r>
      <w:r w:rsidRPr="00F97990">
        <w:t>;</w:t>
      </w:r>
    </w:p>
    <w:p w:rsidR="00687F77" w:rsidRDefault="00687F77" w:rsidP="00687F77">
      <w:pPr>
        <w:ind w:firstLine="720"/>
        <w:jc w:val="both"/>
      </w:pPr>
      <w:r w:rsidRPr="00F97990">
        <w:rPr>
          <w:b/>
        </w:rPr>
        <w:t>6.daļ</w:t>
      </w:r>
      <w:r w:rsidR="00C10228" w:rsidRPr="00F97990">
        <w:rPr>
          <w:b/>
        </w:rPr>
        <w:t>a</w:t>
      </w:r>
      <w:r w:rsidR="00C10228">
        <w:t xml:space="preserve"> – “Saldēti pārtikas produkti” ar</w:t>
      </w:r>
      <w:r>
        <w:t xml:space="preserve"> </w:t>
      </w:r>
      <w:r w:rsidRPr="00F97990">
        <w:rPr>
          <w:b/>
        </w:rPr>
        <w:t>SIA “Kabuleti Fruit”</w:t>
      </w:r>
      <w:r w:rsidRPr="00F97990">
        <w:t>.</w:t>
      </w:r>
    </w:p>
    <w:p w:rsidR="00312A95" w:rsidRPr="00F97990" w:rsidRDefault="00312A95" w:rsidP="00687F77">
      <w:pPr>
        <w:ind w:firstLine="720"/>
        <w:jc w:val="both"/>
        <w:rPr>
          <w:b/>
        </w:rPr>
      </w:pPr>
      <w:r>
        <w:t xml:space="preserve">10.2. Iepirkumu komisija deleģē Iepirkumu komisijas priekšsēdētāju 3 (trīs) darba dienu laikā informēt </w:t>
      </w:r>
      <w:r w:rsidR="00B76E76">
        <w:t xml:space="preserve">visus </w:t>
      </w:r>
      <w:r>
        <w:t xml:space="preserve">pretendentus par iepirkuma rezultātiem un </w:t>
      </w:r>
      <w:r w:rsidR="00B76E76">
        <w:t>tiem pretendentiem, ar kuriem</w:t>
      </w:r>
      <w:r>
        <w:t xml:space="preserve"> nolemts slēgt iepirkum</w:t>
      </w:r>
      <w:r w:rsidR="00B76E76">
        <w:t>a</w:t>
      </w:r>
      <w:r>
        <w:t xml:space="preserve"> līgumu</w:t>
      </w:r>
      <w:r w:rsidR="00B76E76">
        <w:t>s.</w:t>
      </w:r>
    </w:p>
    <w:p w:rsidR="00EF6B8E" w:rsidRDefault="00EF6B8E" w:rsidP="00EA4E9F">
      <w:pPr>
        <w:jc w:val="both"/>
      </w:pPr>
    </w:p>
    <w:p w:rsidR="006034B0" w:rsidRDefault="00687F77" w:rsidP="006034B0">
      <w:pPr>
        <w:jc w:val="both"/>
      </w:pPr>
      <w:r>
        <w:t>Sēdes beigu laiks: 13</w:t>
      </w:r>
      <w:r w:rsidR="006034B0" w:rsidRPr="00EF6B8E">
        <w:t>.</w:t>
      </w:r>
      <w:r>
        <w:t>0</w:t>
      </w:r>
      <w:r w:rsidR="006034B0" w:rsidRPr="00EF6B8E">
        <w:t>0</w:t>
      </w:r>
    </w:p>
    <w:p w:rsidR="00EA4E9F" w:rsidRPr="00EF6B8E" w:rsidRDefault="00EA4E9F" w:rsidP="00EA4E9F">
      <w:pPr>
        <w:rPr>
          <w:sz w:val="16"/>
          <w:szCs w:val="16"/>
        </w:rPr>
      </w:pPr>
    </w:p>
    <w:tbl>
      <w:tblPr>
        <w:tblW w:w="9356"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261"/>
        <w:gridCol w:w="4139"/>
        <w:gridCol w:w="1956"/>
      </w:tblGrid>
      <w:tr w:rsidR="00EA4E9F" w:rsidRPr="00EF6B8E" w:rsidTr="00EA4E9F">
        <w:trPr>
          <w:trHeight w:val="558"/>
        </w:trPr>
        <w:tc>
          <w:tcPr>
            <w:tcW w:w="3261" w:type="dxa"/>
            <w:tcBorders>
              <w:top w:val="single" w:sz="4" w:space="0" w:color="BDD6EE"/>
              <w:left w:val="single" w:sz="4" w:space="0" w:color="BDD6EE"/>
              <w:bottom w:val="single" w:sz="4" w:space="0" w:color="BDD6EE"/>
              <w:right w:val="single" w:sz="4" w:space="0" w:color="BDD6EE"/>
            </w:tcBorders>
            <w:hideMark/>
          </w:tcPr>
          <w:p w:rsidR="00EA4E9F" w:rsidRPr="00EF6B8E" w:rsidRDefault="00EA4E9F">
            <w:pPr>
              <w:rPr>
                <w:rFonts w:eastAsia="Calibri"/>
              </w:rPr>
            </w:pPr>
            <w:r w:rsidRPr="00EF6B8E">
              <w:rPr>
                <w:rFonts w:eastAsia="Calibri"/>
              </w:rPr>
              <w:t>Komisijas priekšsēdētāja:</w:t>
            </w:r>
          </w:p>
        </w:tc>
        <w:tc>
          <w:tcPr>
            <w:tcW w:w="4139"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eastAsia="Calibri"/>
              </w:rPr>
            </w:pPr>
          </w:p>
        </w:tc>
        <w:tc>
          <w:tcPr>
            <w:tcW w:w="1956"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eastAsia="Calibri"/>
              </w:rPr>
            </w:pPr>
            <w:r w:rsidRPr="00EF6B8E">
              <w:rPr>
                <w:rFonts w:eastAsia="Calibri"/>
              </w:rPr>
              <w:t>Dace Svētiņa</w:t>
            </w:r>
          </w:p>
          <w:p w:rsidR="00EA4E9F" w:rsidRDefault="00EA4E9F">
            <w:pPr>
              <w:rPr>
                <w:rFonts w:eastAsia="Calibri"/>
                <w:highlight w:val="red"/>
              </w:rPr>
            </w:pPr>
          </w:p>
          <w:p w:rsidR="00744ECD" w:rsidRPr="00EF6B8E" w:rsidRDefault="00744ECD">
            <w:pPr>
              <w:rPr>
                <w:rFonts w:eastAsia="Calibri"/>
                <w:highlight w:val="red"/>
              </w:rPr>
            </w:pPr>
          </w:p>
        </w:tc>
      </w:tr>
      <w:tr w:rsidR="00EA4E9F" w:rsidRPr="00EF6B8E" w:rsidTr="00EA4E9F">
        <w:trPr>
          <w:trHeight w:val="340"/>
        </w:trPr>
        <w:tc>
          <w:tcPr>
            <w:tcW w:w="3261" w:type="dxa"/>
            <w:tcBorders>
              <w:top w:val="single" w:sz="4" w:space="0" w:color="BDD6EE"/>
              <w:left w:val="single" w:sz="4" w:space="0" w:color="BDD6EE"/>
              <w:bottom w:val="single" w:sz="4" w:space="0" w:color="BDD6EE"/>
              <w:right w:val="single" w:sz="4" w:space="0" w:color="BDD6EE"/>
            </w:tcBorders>
            <w:hideMark/>
          </w:tcPr>
          <w:p w:rsidR="00EA4E9F" w:rsidRPr="00EF6B8E" w:rsidRDefault="00EA4E9F">
            <w:pPr>
              <w:rPr>
                <w:rFonts w:eastAsia="Calibri"/>
              </w:rPr>
            </w:pPr>
            <w:r w:rsidRPr="00EF6B8E">
              <w:rPr>
                <w:rFonts w:eastAsia="Calibri"/>
              </w:rPr>
              <w:t>Komisijas locekļi:</w:t>
            </w:r>
          </w:p>
        </w:tc>
        <w:tc>
          <w:tcPr>
            <w:tcW w:w="4139" w:type="dxa"/>
            <w:tcBorders>
              <w:top w:val="single" w:sz="4" w:space="0" w:color="BDD6EE"/>
              <w:left w:val="single" w:sz="4" w:space="0" w:color="BDD6EE"/>
              <w:bottom w:val="single" w:sz="4" w:space="0" w:color="BDD6EE"/>
              <w:right w:val="single" w:sz="4" w:space="0" w:color="BDD6EE"/>
            </w:tcBorders>
          </w:tcPr>
          <w:p w:rsidR="00EF6B8E" w:rsidRPr="00EF6B8E" w:rsidRDefault="00EF6B8E" w:rsidP="00FB15DF">
            <w:pPr>
              <w:rPr>
                <w:rFonts w:eastAsia="Calibri"/>
              </w:rPr>
            </w:pPr>
          </w:p>
        </w:tc>
        <w:tc>
          <w:tcPr>
            <w:tcW w:w="1956"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eastAsia="Calibri"/>
              </w:rPr>
            </w:pPr>
            <w:r w:rsidRPr="00EF6B8E">
              <w:rPr>
                <w:rFonts w:eastAsia="Calibri"/>
              </w:rPr>
              <w:t>Dace Kļaviņa</w:t>
            </w:r>
          </w:p>
          <w:p w:rsidR="00EA4E9F" w:rsidRDefault="00EA4E9F">
            <w:pPr>
              <w:rPr>
                <w:rFonts w:eastAsia="Calibri"/>
              </w:rPr>
            </w:pPr>
          </w:p>
          <w:p w:rsidR="00EF6B8E" w:rsidRPr="00EF6B8E" w:rsidRDefault="00EF6B8E">
            <w:pPr>
              <w:rPr>
                <w:rFonts w:eastAsia="Calibri"/>
              </w:rPr>
            </w:pPr>
          </w:p>
        </w:tc>
      </w:tr>
      <w:tr w:rsidR="00EA4E9F" w:rsidRPr="00EF6B8E" w:rsidTr="00EA4E9F">
        <w:trPr>
          <w:trHeight w:val="438"/>
        </w:trPr>
        <w:tc>
          <w:tcPr>
            <w:tcW w:w="3261"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ascii="Calibri" w:eastAsia="Calibri" w:hAnsi="Calibri"/>
                <w:sz w:val="22"/>
                <w:szCs w:val="22"/>
              </w:rPr>
            </w:pPr>
          </w:p>
          <w:p w:rsidR="00EA4E9F" w:rsidRPr="00EF6B8E" w:rsidRDefault="00EA4E9F">
            <w:pPr>
              <w:rPr>
                <w:rFonts w:ascii="Calibri" w:eastAsia="Calibri" w:hAnsi="Calibri"/>
                <w:sz w:val="22"/>
                <w:szCs w:val="22"/>
              </w:rPr>
            </w:pPr>
          </w:p>
        </w:tc>
        <w:tc>
          <w:tcPr>
            <w:tcW w:w="4139" w:type="dxa"/>
            <w:tcBorders>
              <w:top w:val="single" w:sz="4" w:space="0" w:color="BDD6EE"/>
              <w:left w:val="single" w:sz="4" w:space="0" w:color="BDD6EE"/>
              <w:bottom w:val="single" w:sz="4" w:space="0" w:color="BDD6EE"/>
              <w:right w:val="single" w:sz="4" w:space="0" w:color="BDD6EE"/>
            </w:tcBorders>
          </w:tcPr>
          <w:p w:rsidR="00EA4E9F" w:rsidRDefault="00EA4E9F">
            <w:pPr>
              <w:jc w:val="center"/>
              <w:rPr>
                <w:rFonts w:ascii="Calibri" w:eastAsia="Calibri" w:hAnsi="Calibri"/>
                <w:sz w:val="22"/>
                <w:szCs w:val="22"/>
              </w:rPr>
            </w:pPr>
          </w:p>
          <w:p w:rsidR="00EF6B8E" w:rsidRDefault="00EF6B8E">
            <w:pPr>
              <w:jc w:val="center"/>
              <w:rPr>
                <w:rFonts w:ascii="Calibri" w:eastAsia="Calibri" w:hAnsi="Calibri"/>
                <w:sz w:val="22"/>
                <w:szCs w:val="22"/>
              </w:rPr>
            </w:pPr>
          </w:p>
          <w:p w:rsidR="00EF6B8E" w:rsidRPr="00EF6B8E" w:rsidRDefault="00EF6B8E" w:rsidP="00FB15DF">
            <w:pPr>
              <w:rPr>
                <w:rFonts w:ascii="Calibri" w:eastAsia="Calibri" w:hAnsi="Calibri"/>
                <w:sz w:val="22"/>
                <w:szCs w:val="22"/>
              </w:rPr>
            </w:pPr>
          </w:p>
        </w:tc>
        <w:tc>
          <w:tcPr>
            <w:tcW w:w="1956" w:type="dxa"/>
            <w:tcBorders>
              <w:top w:val="single" w:sz="4" w:space="0" w:color="BDD6EE"/>
              <w:left w:val="single" w:sz="4" w:space="0" w:color="BDD6EE"/>
              <w:bottom w:val="single" w:sz="4" w:space="0" w:color="BDD6EE"/>
              <w:right w:val="single" w:sz="4" w:space="0" w:color="BDD6EE"/>
            </w:tcBorders>
            <w:hideMark/>
          </w:tcPr>
          <w:p w:rsidR="00EA4E9F" w:rsidRPr="00EF6B8E" w:rsidRDefault="00EA4E9F">
            <w:pPr>
              <w:rPr>
                <w:rFonts w:eastAsia="Calibri"/>
              </w:rPr>
            </w:pPr>
            <w:r w:rsidRPr="00EF6B8E">
              <w:rPr>
                <w:rFonts w:eastAsia="Calibri"/>
              </w:rPr>
              <w:t>Anita Ozola</w:t>
            </w:r>
          </w:p>
        </w:tc>
      </w:tr>
      <w:tr w:rsidR="00EA4E9F" w:rsidRPr="00EF6B8E" w:rsidTr="00EA4E9F">
        <w:trPr>
          <w:trHeight w:val="501"/>
        </w:trPr>
        <w:tc>
          <w:tcPr>
            <w:tcW w:w="3261"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ascii="Calibri" w:eastAsia="Calibri" w:hAnsi="Calibri"/>
                <w:sz w:val="22"/>
                <w:szCs w:val="22"/>
              </w:rPr>
            </w:pPr>
          </w:p>
        </w:tc>
        <w:tc>
          <w:tcPr>
            <w:tcW w:w="4139" w:type="dxa"/>
            <w:tcBorders>
              <w:top w:val="single" w:sz="4" w:space="0" w:color="BDD6EE"/>
              <w:left w:val="single" w:sz="4" w:space="0" w:color="BDD6EE"/>
              <w:bottom w:val="single" w:sz="4" w:space="0" w:color="BDD6EE"/>
              <w:right w:val="single" w:sz="4" w:space="0" w:color="BDD6EE"/>
            </w:tcBorders>
          </w:tcPr>
          <w:p w:rsidR="00EA4E9F" w:rsidRDefault="00EA4E9F">
            <w:pPr>
              <w:jc w:val="center"/>
              <w:rPr>
                <w:rFonts w:ascii="Calibri" w:eastAsia="Calibri" w:hAnsi="Calibri"/>
                <w:sz w:val="22"/>
                <w:szCs w:val="22"/>
              </w:rPr>
            </w:pPr>
          </w:p>
          <w:p w:rsidR="00EF6B8E" w:rsidRPr="00EF6B8E" w:rsidRDefault="00EF6B8E">
            <w:pPr>
              <w:jc w:val="center"/>
              <w:rPr>
                <w:rFonts w:ascii="Calibri" w:eastAsia="Calibri" w:hAnsi="Calibri"/>
                <w:sz w:val="22"/>
                <w:szCs w:val="22"/>
              </w:rPr>
            </w:pPr>
          </w:p>
          <w:p w:rsidR="00EF6B8E" w:rsidRPr="00EF6B8E" w:rsidRDefault="00EF6B8E">
            <w:pPr>
              <w:rPr>
                <w:rFonts w:ascii="Calibri" w:eastAsia="Calibri" w:hAnsi="Calibri"/>
                <w:sz w:val="22"/>
                <w:szCs w:val="22"/>
              </w:rPr>
            </w:pPr>
          </w:p>
        </w:tc>
        <w:tc>
          <w:tcPr>
            <w:tcW w:w="1956" w:type="dxa"/>
            <w:tcBorders>
              <w:top w:val="single" w:sz="4" w:space="0" w:color="BDD6EE"/>
              <w:left w:val="single" w:sz="4" w:space="0" w:color="BDD6EE"/>
              <w:bottom w:val="single" w:sz="4" w:space="0" w:color="BDD6EE"/>
              <w:right w:val="single" w:sz="4" w:space="0" w:color="BDD6EE"/>
            </w:tcBorders>
            <w:hideMark/>
          </w:tcPr>
          <w:p w:rsidR="00EA4E9F" w:rsidRPr="00EF6B8E" w:rsidRDefault="00EA4E9F">
            <w:pPr>
              <w:rPr>
                <w:rFonts w:eastAsia="Calibri"/>
              </w:rPr>
            </w:pPr>
            <w:r w:rsidRPr="00EF6B8E">
              <w:rPr>
                <w:rFonts w:eastAsia="Calibri"/>
              </w:rPr>
              <w:t>Ilze Pabērza</w:t>
            </w:r>
          </w:p>
        </w:tc>
      </w:tr>
      <w:tr w:rsidR="00EA4E9F" w:rsidRPr="00EF6B8E" w:rsidTr="00EA4E9F">
        <w:trPr>
          <w:trHeight w:val="576"/>
        </w:trPr>
        <w:tc>
          <w:tcPr>
            <w:tcW w:w="3261"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ascii="Calibri" w:eastAsia="Calibri" w:hAnsi="Calibri"/>
                <w:sz w:val="22"/>
                <w:szCs w:val="22"/>
              </w:rPr>
            </w:pPr>
          </w:p>
        </w:tc>
        <w:tc>
          <w:tcPr>
            <w:tcW w:w="4139" w:type="dxa"/>
            <w:tcBorders>
              <w:top w:val="single" w:sz="4" w:space="0" w:color="BDD6EE"/>
              <w:left w:val="single" w:sz="4" w:space="0" w:color="BDD6EE"/>
              <w:bottom w:val="single" w:sz="4" w:space="0" w:color="BDD6EE"/>
              <w:right w:val="single" w:sz="4" w:space="0" w:color="BDD6EE"/>
            </w:tcBorders>
          </w:tcPr>
          <w:p w:rsidR="00EA4E9F" w:rsidRPr="00EF6B8E" w:rsidRDefault="00EA4E9F">
            <w:pPr>
              <w:jc w:val="center"/>
              <w:rPr>
                <w:rFonts w:ascii="Calibri" w:eastAsia="Calibri" w:hAnsi="Calibri"/>
                <w:sz w:val="22"/>
                <w:szCs w:val="22"/>
              </w:rPr>
            </w:pPr>
          </w:p>
          <w:p w:rsidR="00EA4E9F" w:rsidRDefault="00EA4E9F">
            <w:pPr>
              <w:rPr>
                <w:rFonts w:ascii="Calibri" w:eastAsia="Calibri" w:hAnsi="Calibri"/>
                <w:sz w:val="22"/>
                <w:szCs w:val="22"/>
              </w:rPr>
            </w:pPr>
          </w:p>
          <w:p w:rsidR="00EF6B8E" w:rsidRPr="00EF6B8E" w:rsidRDefault="00EF6B8E">
            <w:pPr>
              <w:rPr>
                <w:rFonts w:ascii="Calibri" w:eastAsia="Calibri" w:hAnsi="Calibri"/>
                <w:sz w:val="22"/>
                <w:szCs w:val="22"/>
              </w:rPr>
            </w:pPr>
          </w:p>
        </w:tc>
        <w:tc>
          <w:tcPr>
            <w:tcW w:w="1956" w:type="dxa"/>
            <w:tcBorders>
              <w:top w:val="single" w:sz="4" w:space="0" w:color="BDD6EE"/>
              <w:left w:val="single" w:sz="4" w:space="0" w:color="BDD6EE"/>
              <w:bottom w:val="single" w:sz="4" w:space="0" w:color="BDD6EE"/>
              <w:right w:val="single" w:sz="4" w:space="0" w:color="BDD6EE"/>
            </w:tcBorders>
            <w:hideMark/>
          </w:tcPr>
          <w:p w:rsidR="00EA4E9F" w:rsidRPr="00EF6B8E" w:rsidRDefault="00EA4E9F">
            <w:pPr>
              <w:rPr>
                <w:rFonts w:eastAsia="Calibri"/>
              </w:rPr>
            </w:pPr>
            <w:r w:rsidRPr="00EF6B8E">
              <w:rPr>
                <w:rFonts w:eastAsia="Calibri"/>
              </w:rPr>
              <w:t>Andrejs Pastars</w:t>
            </w:r>
          </w:p>
        </w:tc>
      </w:tr>
      <w:tr w:rsidR="00EA4E9F" w:rsidRPr="00EF6B8E" w:rsidTr="00EA4E9F">
        <w:trPr>
          <w:trHeight w:val="340"/>
        </w:trPr>
        <w:tc>
          <w:tcPr>
            <w:tcW w:w="3261" w:type="dxa"/>
            <w:tcBorders>
              <w:top w:val="single" w:sz="4" w:space="0" w:color="BDD6EE"/>
              <w:left w:val="single" w:sz="4" w:space="0" w:color="BDD6EE"/>
              <w:bottom w:val="single" w:sz="4" w:space="0" w:color="BDD6EE"/>
              <w:right w:val="single" w:sz="4" w:space="0" w:color="BDD6EE"/>
            </w:tcBorders>
            <w:hideMark/>
          </w:tcPr>
          <w:p w:rsidR="00EA4E9F" w:rsidRPr="00EF6B8E" w:rsidRDefault="00EA4E9F">
            <w:pPr>
              <w:rPr>
                <w:rFonts w:eastAsia="Calibri"/>
              </w:rPr>
            </w:pPr>
            <w:r w:rsidRPr="00EF6B8E">
              <w:rPr>
                <w:rFonts w:eastAsia="Calibri"/>
              </w:rPr>
              <w:t>Komisijas locekle, sekretāre:</w:t>
            </w:r>
          </w:p>
        </w:tc>
        <w:tc>
          <w:tcPr>
            <w:tcW w:w="4139" w:type="dxa"/>
            <w:tcBorders>
              <w:top w:val="single" w:sz="4" w:space="0" w:color="BDD6EE"/>
              <w:left w:val="single" w:sz="4" w:space="0" w:color="BDD6EE"/>
              <w:bottom w:val="single" w:sz="4" w:space="0" w:color="BDD6EE"/>
              <w:right w:val="single" w:sz="4" w:space="0" w:color="BDD6EE"/>
            </w:tcBorders>
          </w:tcPr>
          <w:p w:rsidR="00EA4E9F" w:rsidRDefault="00EA4E9F">
            <w:pPr>
              <w:jc w:val="center"/>
              <w:rPr>
                <w:rFonts w:eastAsia="Calibri"/>
              </w:rPr>
            </w:pPr>
          </w:p>
          <w:p w:rsidR="00EF6B8E" w:rsidRDefault="00EF6B8E">
            <w:pPr>
              <w:jc w:val="center"/>
              <w:rPr>
                <w:rFonts w:eastAsia="Calibri"/>
              </w:rPr>
            </w:pPr>
          </w:p>
          <w:p w:rsidR="00EF6B8E" w:rsidRPr="00EF6B8E" w:rsidRDefault="00EF6B8E" w:rsidP="00FB15DF">
            <w:pPr>
              <w:rPr>
                <w:rFonts w:eastAsia="Calibri"/>
              </w:rPr>
            </w:pPr>
          </w:p>
        </w:tc>
        <w:tc>
          <w:tcPr>
            <w:tcW w:w="1956" w:type="dxa"/>
            <w:tcBorders>
              <w:top w:val="single" w:sz="4" w:space="0" w:color="BDD6EE"/>
              <w:left w:val="single" w:sz="4" w:space="0" w:color="BDD6EE"/>
              <w:bottom w:val="single" w:sz="4" w:space="0" w:color="BDD6EE"/>
              <w:right w:val="single" w:sz="4" w:space="0" w:color="BDD6EE"/>
            </w:tcBorders>
          </w:tcPr>
          <w:p w:rsidR="00EA4E9F" w:rsidRPr="00EF6B8E" w:rsidRDefault="00EA4E9F">
            <w:pPr>
              <w:rPr>
                <w:rFonts w:eastAsia="Calibri"/>
              </w:rPr>
            </w:pPr>
            <w:r w:rsidRPr="00EF6B8E">
              <w:rPr>
                <w:rFonts w:eastAsia="Calibri"/>
              </w:rPr>
              <w:t>Gunita Majore</w:t>
            </w:r>
          </w:p>
          <w:p w:rsidR="00EA4E9F" w:rsidRPr="00EF6B8E" w:rsidRDefault="00EA4E9F">
            <w:pPr>
              <w:rPr>
                <w:rFonts w:eastAsia="Calibri"/>
              </w:rPr>
            </w:pPr>
          </w:p>
        </w:tc>
      </w:tr>
    </w:tbl>
    <w:p w:rsidR="00F76752" w:rsidRPr="00EF6B8E" w:rsidRDefault="00F76752" w:rsidP="00057B07">
      <w:pPr>
        <w:rPr>
          <w:b/>
        </w:rPr>
      </w:pPr>
    </w:p>
    <w:sectPr w:rsidR="00F76752" w:rsidRPr="00EF6B8E" w:rsidSect="005A14E9">
      <w:footerReference w:type="default" r:id="rId10"/>
      <w:pgSz w:w="11906" w:h="16838"/>
      <w:pgMar w:top="851" w:right="991" w:bottom="1135" w:left="1560" w:header="709"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9F" w:rsidRDefault="002B3B9F" w:rsidP="00615BE3">
      <w:r>
        <w:separator/>
      </w:r>
    </w:p>
  </w:endnote>
  <w:endnote w:type="continuationSeparator" w:id="0">
    <w:p w:rsidR="002B3B9F" w:rsidRDefault="002B3B9F" w:rsidP="0061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5B" w:rsidRDefault="00A17D5B" w:rsidP="00131E28">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C6BAD">
      <w:rPr>
        <w:caps/>
        <w:noProof/>
        <w:color w:val="5B9BD5" w:themeColor="accent1"/>
      </w:rPr>
      <w:t>7</w:t>
    </w:r>
    <w:r>
      <w:rPr>
        <w:caps/>
        <w:color w:val="5B9BD5" w:themeColor="accent1"/>
      </w:rPr>
      <w:fldChar w:fldCharType="end"/>
    </w:r>
  </w:p>
  <w:p w:rsidR="00615BE3" w:rsidRDefault="00615B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9F" w:rsidRDefault="002B3B9F" w:rsidP="00615BE3">
      <w:r>
        <w:separator/>
      </w:r>
    </w:p>
  </w:footnote>
  <w:footnote w:type="continuationSeparator" w:id="0">
    <w:p w:rsidR="002B3B9F" w:rsidRDefault="002B3B9F" w:rsidP="00615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610"/>
    <w:multiLevelType w:val="hybridMultilevel"/>
    <w:tmpl w:val="960E00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BBD1C27"/>
    <w:multiLevelType w:val="multilevel"/>
    <w:tmpl w:val="D6C24D5A"/>
    <w:lvl w:ilvl="0">
      <w:start w:val="1"/>
      <w:numFmt w:val="decimal"/>
      <w:lvlText w:val="%1."/>
      <w:lvlJc w:val="left"/>
      <w:pPr>
        <w:ind w:left="502" w:hanging="360"/>
      </w:pPr>
    </w:lvl>
    <w:lvl w:ilvl="1">
      <w:start w:val="1"/>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43DB653B"/>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48F63A81"/>
    <w:multiLevelType w:val="hybridMultilevel"/>
    <w:tmpl w:val="B0008E4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CF10189"/>
    <w:multiLevelType w:val="multilevel"/>
    <w:tmpl w:val="B80E9C7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8F6302"/>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5D31727F"/>
    <w:multiLevelType w:val="hybridMultilevel"/>
    <w:tmpl w:val="6AD62B80"/>
    <w:lvl w:ilvl="0" w:tplc="239677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0C4F14"/>
    <w:multiLevelType w:val="multilevel"/>
    <w:tmpl w:val="D6C24D5A"/>
    <w:lvl w:ilvl="0">
      <w:start w:val="1"/>
      <w:numFmt w:val="decimal"/>
      <w:lvlText w:val="%1."/>
      <w:lvlJc w:val="left"/>
      <w:pPr>
        <w:ind w:left="502" w:hanging="360"/>
      </w:pPr>
    </w:lvl>
    <w:lvl w:ilvl="1">
      <w:start w:val="1"/>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93"/>
    <w:rsid w:val="00030875"/>
    <w:rsid w:val="00053CDE"/>
    <w:rsid w:val="00057B07"/>
    <w:rsid w:val="00061825"/>
    <w:rsid w:val="00066CAE"/>
    <w:rsid w:val="000848E2"/>
    <w:rsid w:val="00086EEE"/>
    <w:rsid w:val="000926AA"/>
    <w:rsid w:val="000A0BAB"/>
    <w:rsid w:val="000E2A3E"/>
    <w:rsid w:val="000E33C1"/>
    <w:rsid w:val="00101FB1"/>
    <w:rsid w:val="001132EE"/>
    <w:rsid w:val="00131E28"/>
    <w:rsid w:val="001413C5"/>
    <w:rsid w:val="00151690"/>
    <w:rsid w:val="00161EEC"/>
    <w:rsid w:val="0016402E"/>
    <w:rsid w:val="001E534B"/>
    <w:rsid w:val="001E5759"/>
    <w:rsid w:val="00205EB1"/>
    <w:rsid w:val="00220D07"/>
    <w:rsid w:val="00241179"/>
    <w:rsid w:val="002449A1"/>
    <w:rsid w:val="00261868"/>
    <w:rsid w:val="00261874"/>
    <w:rsid w:val="0029382E"/>
    <w:rsid w:val="002A4696"/>
    <w:rsid w:val="002B194E"/>
    <w:rsid w:val="002B3B9F"/>
    <w:rsid w:val="002C61FF"/>
    <w:rsid w:val="002D5756"/>
    <w:rsid w:val="002E05A9"/>
    <w:rsid w:val="002F3822"/>
    <w:rsid w:val="002F5F2D"/>
    <w:rsid w:val="00305379"/>
    <w:rsid w:val="00312A95"/>
    <w:rsid w:val="00344AEF"/>
    <w:rsid w:val="0038081B"/>
    <w:rsid w:val="003837C8"/>
    <w:rsid w:val="003864B0"/>
    <w:rsid w:val="00391479"/>
    <w:rsid w:val="003B3CCA"/>
    <w:rsid w:val="003B4698"/>
    <w:rsid w:val="003E061E"/>
    <w:rsid w:val="003E550E"/>
    <w:rsid w:val="003F061B"/>
    <w:rsid w:val="003F7932"/>
    <w:rsid w:val="00411134"/>
    <w:rsid w:val="004147AF"/>
    <w:rsid w:val="00415C3A"/>
    <w:rsid w:val="00435169"/>
    <w:rsid w:val="00450C2A"/>
    <w:rsid w:val="00455126"/>
    <w:rsid w:val="00456B0B"/>
    <w:rsid w:val="00472AAB"/>
    <w:rsid w:val="004A38A7"/>
    <w:rsid w:val="004F070C"/>
    <w:rsid w:val="0050246A"/>
    <w:rsid w:val="00511C7D"/>
    <w:rsid w:val="00530041"/>
    <w:rsid w:val="00571DC8"/>
    <w:rsid w:val="00592B38"/>
    <w:rsid w:val="005957C4"/>
    <w:rsid w:val="005A14E9"/>
    <w:rsid w:val="005A7C4A"/>
    <w:rsid w:val="005C448C"/>
    <w:rsid w:val="005E26E7"/>
    <w:rsid w:val="005E5B68"/>
    <w:rsid w:val="005F5C6B"/>
    <w:rsid w:val="006034B0"/>
    <w:rsid w:val="006039B5"/>
    <w:rsid w:val="00615BE3"/>
    <w:rsid w:val="00624502"/>
    <w:rsid w:val="00643F9F"/>
    <w:rsid w:val="00653F2A"/>
    <w:rsid w:val="00657284"/>
    <w:rsid w:val="00664520"/>
    <w:rsid w:val="00667862"/>
    <w:rsid w:val="00683B2E"/>
    <w:rsid w:val="00687F77"/>
    <w:rsid w:val="006A09B8"/>
    <w:rsid w:val="006A113D"/>
    <w:rsid w:val="006B4930"/>
    <w:rsid w:val="006E726C"/>
    <w:rsid w:val="006F6DB0"/>
    <w:rsid w:val="007023CF"/>
    <w:rsid w:val="007234A6"/>
    <w:rsid w:val="00744ECD"/>
    <w:rsid w:val="0075697D"/>
    <w:rsid w:val="0076497A"/>
    <w:rsid w:val="007658DE"/>
    <w:rsid w:val="0076637C"/>
    <w:rsid w:val="00775D0E"/>
    <w:rsid w:val="00777F94"/>
    <w:rsid w:val="00781693"/>
    <w:rsid w:val="00787315"/>
    <w:rsid w:val="007914E2"/>
    <w:rsid w:val="007938B0"/>
    <w:rsid w:val="007A0CED"/>
    <w:rsid w:val="007A0F86"/>
    <w:rsid w:val="007A218B"/>
    <w:rsid w:val="007B5AE9"/>
    <w:rsid w:val="007D07E3"/>
    <w:rsid w:val="007E30AE"/>
    <w:rsid w:val="007E5C51"/>
    <w:rsid w:val="007F1580"/>
    <w:rsid w:val="00801378"/>
    <w:rsid w:val="00802F8D"/>
    <w:rsid w:val="0080637B"/>
    <w:rsid w:val="00811DD8"/>
    <w:rsid w:val="008874CC"/>
    <w:rsid w:val="008B003C"/>
    <w:rsid w:val="008B2CE7"/>
    <w:rsid w:val="008C220D"/>
    <w:rsid w:val="008C2D0E"/>
    <w:rsid w:val="008D4BF6"/>
    <w:rsid w:val="008E5FD0"/>
    <w:rsid w:val="008F3565"/>
    <w:rsid w:val="008F6879"/>
    <w:rsid w:val="00941A99"/>
    <w:rsid w:val="00961AFF"/>
    <w:rsid w:val="009648B7"/>
    <w:rsid w:val="00977EA3"/>
    <w:rsid w:val="0099297A"/>
    <w:rsid w:val="00995909"/>
    <w:rsid w:val="009A4BD9"/>
    <w:rsid w:val="009A52E0"/>
    <w:rsid w:val="009C064C"/>
    <w:rsid w:val="009F11B4"/>
    <w:rsid w:val="00A03B93"/>
    <w:rsid w:val="00A141CA"/>
    <w:rsid w:val="00A169F1"/>
    <w:rsid w:val="00A17D5B"/>
    <w:rsid w:val="00A448F6"/>
    <w:rsid w:val="00A6523D"/>
    <w:rsid w:val="00A7041A"/>
    <w:rsid w:val="00AA1323"/>
    <w:rsid w:val="00AB516F"/>
    <w:rsid w:val="00AB6C05"/>
    <w:rsid w:val="00AB715A"/>
    <w:rsid w:val="00AD3D9A"/>
    <w:rsid w:val="00AE7FA5"/>
    <w:rsid w:val="00AF4060"/>
    <w:rsid w:val="00AF61A9"/>
    <w:rsid w:val="00AF75BA"/>
    <w:rsid w:val="00B11379"/>
    <w:rsid w:val="00B30648"/>
    <w:rsid w:val="00B35040"/>
    <w:rsid w:val="00B567FA"/>
    <w:rsid w:val="00B61443"/>
    <w:rsid w:val="00B76E76"/>
    <w:rsid w:val="00B95BA1"/>
    <w:rsid w:val="00BD5159"/>
    <w:rsid w:val="00BE1BB8"/>
    <w:rsid w:val="00BF5EC4"/>
    <w:rsid w:val="00C038FE"/>
    <w:rsid w:val="00C10228"/>
    <w:rsid w:val="00C16621"/>
    <w:rsid w:val="00C16DD3"/>
    <w:rsid w:val="00C17216"/>
    <w:rsid w:val="00C2178E"/>
    <w:rsid w:val="00C258ED"/>
    <w:rsid w:val="00C31700"/>
    <w:rsid w:val="00C32ECB"/>
    <w:rsid w:val="00C40214"/>
    <w:rsid w:val="00C631C0"/>
    <w:rsid w:val="00C64774"/>
    <w:rsid w:val="00C64BEB"/>
    <w:rsid w:val="00C87BB8"/>
    <w:rsid w:val="00C93D86"/>
    <w:rsid w:val="00CC1A2B"/>
    <w:rsid w:val="00CC6BAD"/>
    <w:rsid w:val="00CE0E84"/>
    <w:rsid w:val="00CE34E3"/>
    <w:rsid w:val="00CF21BF"/>
    <w:rsid w:val="00CF3DD6"/>
    <w:rsid w:val="00D0588D"/>
    <w:rsid w:val="00D176D8"/>
    <w:rsid w:val="00D24FD4"/>
    <w:rsid w:val="00D32081"/>
    <w:rsid w:val="00D42211"/>
    <w:rsid w:val="00D44A71"/>
    <w:rsid w:val="00D472AB"/>
    <w:rsid w:val="00D673BB"/>
    <w:rsid w:val="00D72729"/>
    <w:rsid w:val="00D81735"/>
    <w:rsid w:val="00D8186C"/>
    <w:rsid w:val="00DA738C"/>
    <w:rsid w:val="00DB08D1"/>
    <w:rsid w:val="00DC1593"/>
    <w:rsid w:val="00DD500B"/>
    <w:rsid w:val="00DD7C6E"/>
    <w:rsid w:val="00DE0798"/>
    <w:rsid w:val="00E01627"/>
    <w:rsid w:val="00E24305"/>
    <w:rsid w:val="00E3440E"/>
    <w:rsid w:val="00E4563A"/>
    <w:rsid w:val="00E66D21"/>
    <w:rsid w:val="00E72070"/>
    <w:rsid w:val="00E756ED"/>
    <w:rsid w:val="00E759D0"/>
    <w:rsid w:val="00E83584"/>
    <w:rsid w:val="00EA3257"/>
    <w:rsid w:val="00EA3FEC"/>
    <w:rsid w:val="00EA434F"/>
    <w:rsid w:val="00EA4E9F"/>
    <w:rsid w:val="00EB19B1"/>
    <w:rsid w:val="00EB2690"/>
    <w:rsid w:val="00EB6EDF"/>
    <w:rsid w:val="00EC0060"/>
    <w:rsid w:val="00EC3E70"/>
    <w:rsid w:val="00EE061F"/>
    <w:rsid w:val="00EF6B8E"/>
    <w:rsid w:val="00F00C8D"/>
    <w:rsid w:val="00F06AD7"/>
    <w:rsid w:val="00F07F01"/>
    <w:rsid w:val="00F3140C"/>
    <w:rsid w:val="00F412C9"/>
    <w:rsid w:val="00F47051"/>
    <w:rsid w:val="00F54711"/>
    <w:rsid w:val="00F56823"/>
    <w:rsid w:val="00F76752"/>
    <w:rsid w:val="00F77464"/>
    <w:rsid w:val="00F845C3"/>
    <w:rsid w:val="00F922B0"/>
    <w:rsid w:val="00F97990"/>
    <w:rsid w:val="00FA0558"/>
    <w:rsid w:val="00FB15DF"/>
    <w:rsid w:val="00FB7A0A"/>
    <w:rsid w:val="00FC0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3854BC-7017-4931-B22C-1F1BFDA9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3CCA"/>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C1593"/>
    <w:pPr>
      <w:spacing w:before="100" w:beforeAutospacing="1" w:after="100" w:afterAutospacing="1"/>
    </w:pPr>
  </w:style>
  <w:style w:type="table" w:styleId="Reatabula">
    <w:name w:val="Table Grid"/>
    <w:basedOn w:val="Parastatabula"/>
    <w:rsid w:val="00DC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00B"/>
    <w:pPr>
      <w:autoSpaceDE w:val="0"/>
      <w:autoSpaceDN w:val="0"/>
      <w:adjustRightInd w:val="0"/>
    </w:pPr>
    <w:rPr>
      <w:rFonts w:eastAsia="Calibri"/>
      <w:color w:val="000000"/>
      <w:sz w:val="24"/>
      <w:szCs w:val="24"/>
      <w:lang w:eastAsia="en-US"/>
    </w:rPr>
  </w:style>
  <w:style w:type="paragraph" w:styleId="Vienkrsteksts">
    <w:name w:val="Plain Text"/>
    <w:basedOn w:val="Parasts"/>
    <w:link w:val="VienkrstekstsRakstz"/>
    <w:uiPriority w:val="99"/>
    <w:unhideWhenUsed/>
    <w:rsid w:val="00AB6C05"/>
    <w:rPr>
      <w:rFonts w:ascii="Calibri" w:eastAsia="Calibri" w:hAnsi="Calibri"/>
      <w:sz w:val="22"/>
      <w:szCs w:val="21"/>
    </w:rPr>
  </w:style>
  <w:style w:type="character" w:customStyle="1" w:styleId="VienkrstekstsRakstz">
    <w:name w:val="Vienkāršs teksts Rakstz."/>
    <w:basedOn w:val="Noklusjumarindkopasfonts"/>
    <w:link w:val="Vienkrsteksts"/>
    <w:uiPriority w:val="99"/>
    <w:rsid w:val="00AB6C05"/>
    <w:rPr>
      <w:rFonts w:ascii="Calibri" w:eastAsia="Calibri" w:hAnsi="Calibri"/>
      <w:sz w:val="22"/>
      <w:szCs w:val="21"/>
      <w:lang w:eastAsia="en-US"/>
    </w:rPr>
  </w:style>
  <w:style w:type="paragraph" w:styleId="Sarakstarindkopa">
    <w:name w:val="List Paragraph"/>
    <w:basedOn w:val="Parasts"/>
    <w:uiPriority w:val="34"/>
    <w:qFormat/>
    <w:rsid w:val="002449A1"/>
    <w:pPr>
      <w:ind w:left="720"/>
      <w:contextualSpacing/>
    </w:pPr>
  </w:style>
  <w:style w:type="paragraph" w:styleId="Galvene">
    <w:name w:val="header"/>
    <w:basedOn w:val="Parasts"/>
    <w:link w:val="GalveneRakstz"/>
    <w:rsid w:val="00615BE3"/>
    <w:pPr>
      <w:tabs>
        <w:tab w:val="center" w:pos="4153"/>
        <w:tab w:val="right" w:pos="8306"/>
      </w:tabs>
    </w:pPr>
  </w:style>
  <w:style w:type="character" w:customStyle="1" w:styleId="GalveneRakstz">
    <w:name w:val="Galvene Rakstz."/>
    <w:basedOn w:val="Noklusjumarindkopasfonts"/>
    <w:link w:val="Galvene"/>
    <w:rsid w:val="00615BE3"/>
    <w:rPr>
      <w:sz w:val="24"/>
      <w:szCs w:val="24"/>
      <w:lang w:val="en-GB" w:eastAsia="en-US"/>
    </w:rPr>
  </w:style>
  <w:style w:type="paragraph" w:styleId="Kjene">
    <w:name w:val="footer"/>
    <w:basedOn w:val="Parasts"/>
    <w:link w:val="KjeneRakstz"/>
    <w:uiPriority w:val="99"/>
    <w:rsid w:val="00615BE3"/>
    <w:pPr>
      <w:tabs>
        <w:tab w:val="center" w:pos="4153"/>
        <w:tab w:val="right" w:pos="8306"/>
      </w:tabs>
    </w:pPr>
  </w:style>
  <w:style w:type="character" w:customStyle="1" w:styleId="KjeneRakstz">
    <w:name w:val="Kājene Rakstz."/>
    <w:basedOn w:val="Noklusjumarindkopasfonts"/>
    <w:link w:val="Kjene"/>
    <w:uiPriority w:val="99"/>
    <w:rsid w:val="00615BE3"/>
    <w:rPr>
      <w:sz w:val="24"/>
      <w:szCs w:val="24"/>
      <w:lang w:val="en-GB" w:eastAsia="en-US"/>
    </w:rPr>
  </w:style>
  <w:style w:type="paragraph" w:styleId="Balonteksts">
    <w:name w:val="Balloon Text"/>
    <w:basedOn w:val="Parasts"/>
    <w:link w:val="BalontekstsRakstz"/>
    <w:rsid w:val="00D32081"/>
    <w:rPr>
      <w:rFonts w:ascii="Segoe UI" w:hAnsi="Segoe UI" w:cs="Segoe UI"/>
      <w:sz w:val="18"/>
      <w:szCs w:val="18"/>
    </w:rPr>
  </w:style>
  <w:style w:type="character" w:customStyle="1" w:styleId="BalontekstsRakstz">
    <w:name w:val="Balonteksts Rakstz."/>
    <w:basedOn w:val="Noklusjumarindkopasfonts"/>
    <w:link w:val="Balonteksts"/>
    <w:rsid w:val="00D3208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1227">
      <w:bodyDiv w:val="1"/>
      <w:marLeft w:val="0"/>
      <w:marRight w:val="0"/>
      <w:marTop w:val="0"/>
      <w:marBottom w:val="0"/>
      <w:divBdr>
        <w:top w:val="none" w:sz="0" w:space="0" w:color="auto"/>
        <w:left w:val="none" w:sz="0" w:space="0" w:color="auto"/>
        <w:bottom w:val="none" w:sz="0" w:space="0" w:color="auto"/>
        <w:right w:val="none" w:sz="0" w:space="0" w:color="auto"/>
      </w:divBdr>
    </w:div>
    <w:div w:id="478690750">
      <w:bodyDiv w:val="1"/>
      <w:marLeft w:val="0"/>
      <w:marRight w:val="0"/>
      <w:marTop w:val="0"/>
      <w:marBottom w:val="0"/>
      <w:divBdr>
        <w:top w:val="none" w:sz="0" w:space="0" w:color="auto"/>
        <w:left w:val="none" w:sz="0" w:space="0" w:color="auto"/>
        <w:bottom w:val="none" w:sz="0" w:space="0" w:color="auto"/>
        <w:right w:val="none" w:sz="0" w:space="0" w:color="auto"/>
      </w:divBdr>
    </w:div>
    <w:div w:id="762649363">
      <w:bodyDiv w:val="1"/>
      <w:marLeft w:val="0"/>
      <w:marRight w:val="0"/>
      <w:marTop w:val="0"/>
      <w:marBottom w:val="0"/>
      <w:divBdr>
        <w:top w:val="none" w:sz="0" w:space="0" w:color="auto"/>
        <w:left w:val="none" w:sz="0" w:space="0" w:color="auto"/>
        <w:bottom w:val="none" w:sz="0" w:space="0" w:color="auto"/>
        <w:right w:val="none" w:sz="0" w:space="0" w:color="auto"/>
      </w:divBdr>
    </w:div>
    <w:div w:id="1061440099">
      <w:bodyDiv w:val="1"/>
      <w:marLeft w:val="0"/>
      <w:marRight w:val="0"/>
      <w:marTop w:val="0"/>
      <w:marBottom w:val="0"/>
      <w:divBdr>
        <w:top w:val="none" w:sz="0" w:space="0" w:color="auto"/>
        <w:left w:val="none" w:sz="0" w:space="0" w:color="auto"/>
        <w:bottom w:val="none" w:sz="0" w:space="0" w:color="auto"/>
        <w:right w:val="none" w:sz="0" w:space="0" w:color="auto"/>
      </w:divBdr>
    </w:div>
    <w:div w:id="1208950799">
      <w:bodyDiv w:val="1"/>
      <w:marLeft w:val="0"/>
      <w:marRight w:val="0"/>
      <w:marTop w:val="0"/>
      <w:marBottom w:val="0"/>
      <w:divBdr>
        <w:top w:val="none" w:sz="0" w:space="0" w:color="auto"/>
        <w:left w:val="none" w:sz="0" w:space="0" w:color="auto"/>
        <w:bottom w:val="none" w:sz="0" w:space="0" w:color="auto"/>
        <w:right w:val="none" w:sz="0" w:space="0" w:color="auto"/>
      </w:divBdr>
    </w:div>
    <w:div w:id="1237745461">
      <w:bodyDiv w:val="1"/>
      <w:marLeft w:val="0"/>
      <w:marRight w:val="0"/>
      <w:marTop w:val="0"/>
      <w:marBottom w:val="0"/>
      <w:divBdr>
        <w:top w:val="none" w:sz="0" w:space="0" w:color="auto"/>
        <w:left w:val="none" w:sz="0" w:space="0" w:color="auto"/>
        <w:bottom w:val="none" w:sz="0" w:space="0" w:color="auto"/>
        <w:right w:val="none" w:sz="0" w:space="0" w:color="auto"/>
      </w:divBdr>
    </w:div>
    <w:div w:id="1293637676">
      <w:bodyDiv w:val="1"/>
      <w:marLeft w:val="0"/>
      <w:marRight w:val="0"/>
      <w:marTop w:val="0"/>
      <w:marBottom w:val="0"/>
      <w:divBdr>
        <w:top w:val="none" w:sz="0" w:space="0" w:color="auto"/>
        <w:left w:val="none" w:sz="0" w:space="0" w:color="auto"/>
        <w:bottom w:val="none" w:sz="0" w:space="0" w:color="auto"/>
        <w:right w:val="none" w:sz="0" w:space="0" w:color="auto"/>
      </w:divBdr>
    </w:div>
    <w:div w:id="1519736496">
      <w:bodyDiv w:val="1"/>
      <w:marLeft w:val="0"/>
      <w:marRight w:val="0"/>
      <w:marTop w:val="0"/>
      <w:marBottom w:val="0"/>
      <w:divBdr>
        <w:top w:val="none" w:sz="0" w:space="0" w:color="auto"/>
        <w:left w:val="none" w:sz="0" w:space="0" w:color="auto"/>
        <w:bottom w:val="none" w:sz="0" w:space="0" w:color="auto"/>
        <w:right w:val="none" w:sz="0" w:space="0" w:color="auto"/>
      </w:divBdr>
    </w:div>
    <w:div w:id="1776636219">
      <w:bodyDiv w:val="1"/>
      <w:marLeft w:val="0"/>
      <w:marRight w:val="0"/>
      <w:marTop w:val="0"/>
      <w:marBottom w:val="0"/>
      <w:divBdr>
        <w:top w:val="none" w:sz="0" w:space="0" w:color="auto"/>
        <w:left w:val="none" w:sz="0" w:space="0" w:color="auto"/>
        <w:bottom w:val="none" w:sz="0" w:space="0" w:color="auto"/>
        <w:right w:val="none" w:sz="0" w:space="0" w:color="auto"/>
      </w:divBdr>
    </w:div>
    <w:div w:id="1929269227">
      <w:bodyDiv w:val="1"/>
      <w:marLeft w:val="0"/>
      <w:marRight w:val="0"/>
      <w:marTop w:val="0"/>
      <w:marBottom w:val="0"/>
      <w:divBdr>
        <w:top w:val="none" w:sz="0" w:space="0" w:color="auto"/>
        <w:left w:val="none" w:sz="0" w:space="0" w:color="auto"/>
        <w:bottom w:val="none" w:sz="0" w:space="0" w:color="auto"/>
        <w:right w:val="none" w:sz="0" w:space="0" w:color="auto"/>
      </w:divBdr>
    </w:div>
    <w:div w:id="1966277160">
      <w:bodyDiv w:val="1"/>
      <w:marLeft w:val="0"/>
      <w:marRight w:val="0"/>
      <w:marTop w:val="0"/>
      <w:marBottom w:val="0"/>
      <w:divBdr>
        <w:top w:val="none" w:sz="0" w:space="0" w:color="auto"/>
        <w:left w:val="none" w:sz="0" w:space="0" w:color="auto"/>
        <w:bottom w:val="none" w:sz="0" w:space="0" w:color="auto"/>
        <w:right w:val="none" w:sz="0" w:space="0" w:color="auto"/>
      </w:divBdr>
    </w:div>
    <w:div w:id="2014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044B-DB5D-476B-8344-6F31CA2A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12750</Words>
  <Characters>7269</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Iepirkuma procedūra Publisko iepirkumu likuma 8</vt:lpstr>
      <vt:lpstr>Iepirkuma procedūra Publisko iepirkumu likuma 8</vt:lpstr>
    </vt:vector>
  </TitlesOfParts>
  <Company>organization</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 Publisko iepirkumu likuma 8</dc:title>
  <dc:subject/>
  <dc:creator>name</dc:creator>
  <cp:keywords/>
  <dc:description/>
  <cp:lastModifiedBy>Deputats</cp:lastModifiedBy>
  <cp:revision>2</cp:revision>
  <cp:lastPrinted>2017-11-21T13:57:00Z</cp:lastPrinted>
  <dcterms:created xsi:type="dcterms:W3CDTF">2017-11-22T11:34:00Z</dcterms:created>
  <dcterms:modified xsi:type="dcterms:W3CDTF">2017-11-22T11:34:00Z</dcterms:modified>
</cp:coreProperties>
</file>