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EEE" w:rsidRPr="00B52BA0" w:rsidRDefault="00AE77EC" w:rsidP="00086EEE">
      <w:pPr>
        <w:jc w:val="center"/>
      </w:pPr>
      <w:r w:rsidRPr="00B52BA0">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71.35pt" o:ole="">
            <v:imagedata r:id="rId8" o:title="" cropbottom="2491f"/>
          </v:shape>
          <o:OLEObject Type="Embed" ProgID="AcroExch.Document.11" ShapeID="_x0000_i1025" DrawAspect="Content" ObjectID="_1580548734" r:id="rId9"/>
        </w:object>
      </w:r>
    </w:p>
    <w:p w:rsidR="00086EEE" w:rsidRPr="00B52BA0" w:rsidRDefault="00086EEE" w:rsidP="00086EEE">
      <w:pPr>
        <w:jc w:val="center"/>
        <w:rPr>
          <w:rFonts w:ascii="Franklin Gothic Medium" w:hAnsi="Franklin Gothic Medium"/>
          <w:color w:val="333333"/>
          <w:sz w:val="28"/>
          <w:szCs w:val="28"/>
        </w:rPr>
      </w:pPr>
      <w:r w:rsidRPr="00B52BA0">
        <w:rPr>
          <w:rFonts w:ascii="Franklin Gothic Medium" w:hAnsi="Franklin Gothic Medium" w:cs="Arial"/>
          <w:color w:val="333333"/>
        </w:rPr>
        <w:t xml:space="preserve"> </w:t>
      </w:r>
      <w:r w:rsidRPr="00B52BA0">
        <w:rPr>
          <w:rFonts w:ascii="Franklin Gothic Medium" w:hAnsi="Franklin Gothic Medium"/>
          <w:color w:val="333333"/>
          <w:sz w:val="28"/>
          <w:szCs w:val="28"/>
        </w:rPr>
        <w:t>Kokneses novada dome</w:t>
      </w:r>
    </w:p>
    <w:p w:rsidR="00086EEE" w:rsidRPr="00B52BA0" w:rsidRDefault="00086EEE" w:rsidP="00086EEE">
      <w:pPr>
        <w:pBdr>
          <w:bottom w:val="single" w:sz="12" w:space="1" w:color="auto"/>
        </w:pBdr>
        <w:jc w:val="center"/>
        <w:rPr>
          <w:rFonts w:ascii="Franklin Gothic Medium" w:hAnsi="Franklin Gothic Medium"/>
          <w:b/>
          <w:color w:val="333333"/>
          <w:sz w:val="28"/>
          <w:szCs w:val="28"/>
        </w:rPr>
      </w:pPr>
      <w:r w:rsidRPr="00B52BA0">
        <w:rPr>
          <w:rFonts w:ascii="Franklin Gothic Medium" w:hAnsi="Franklin Gothic Medium"/>
          <w:b/>
          <w:color w:val="333333"/>
          <w:sz w:val="28"/>
          <w:szCs w:val="28"/>
        </w:rPr>
        <w:t>CENTRALIZĒTO IEPIRKUMU KOMISIJA</w:t>
      </w:r>
    </w:p>
    <w:p w:rsidR="00086EEE" w:rsidRPr="00B52BA0" w:rsidRDefault="00086EEE" w:rsidP="00086EEE">
      <w:pPr>
        <w:jc w:val="center"/>
        <w:rPr>
          <w:rFonts w:ascii="Book Antiqua" w:hAnsi="Book Antiqua"/>
          <w:i/>
          <w:sz w:val="20"/>
          <w:szCs w:val="20"/>
        </w:rPr>
      </w:pPr>
      <w:r w:rsidRPr="00B52BA0">
        <w:rPr>
          <w:rFonts w:ascii="Book Antiqua" w:hAnsi="Book Antiqua"/>
          <w:i/>
          <w:sz w:val="20"/>
          <w:szCs w:val="20"/>
        </w:rPr>
        <w:t>Melioratoru iela 1, Kokneses pagasts, Kokneses novads, LV-5113, tālr. 6 5133638, fakss 6 5133631</w:t>
      </w:r>
    </w:p>
    <w:p w:rsidR="00086EEE" w:rsidRPr="00B52BA0" w:rsidRDefault="00086EEE" w:rsidP="00086EEE">
      <w:pPr>
        <w:jc w:val="center"/>
        <w:rPr>
          <w:rFonts w:ascii="Book Antiqua" w:hAnsi="Book Antiqua"/>
          <w:i/>
          <w:sz w:val="20"/>
          <w:szCs w:val="20"/>
        </w:rPr>
      </w:pPr>
      <w:r w:rsidRPr="00B52BA0">
        <w:rPr>
          <w:rFonts w:ascii="Book Antiqua" w:hAnsi="Book Antiqua"/>
          <w:i/>
          <w:sz w:val="20"/>
          <w:szCs w:val="20"/>
        </w:rPr>
        <w:t>e-pasts- dace.svetina@koknese.lv</w:t>
      </w:r>
    </w:p>
    <w:p w:rsidR="00086EEE" w:rsidRDefault="00086EEE" w:rsidP="00030875">
      <w:pPr>
        <w:jc w:val="center"/>
        <w:rPr>
          <w:b/>
          <w:sz w:val="18"/>
          <w:szCs w:val="18"/>
        </w:rPr>
      </w:pPr>
    </w:p>
    <w:p w:rsidR="00B52BA0" w:rsidRPr="00B52BA0" w:rsidRDefault="00B52BA0" w:rsidP="00030875">
      <w:pPr>
        <w:jc w:val="center"/>
        <w:rPr>
          <w:b/>
          <w:sz w:val="18"/>
          <w:szCs w:val="18"/>
        </w:rPr>
      </w:pPr>
    </w:p>
    <w:p w:rsidR="007E30AE" w:rsidRPr="00B52BA0" w:rsidRDefault="007E30AE" w:rsidP="007E30AE">
      <w:pPr>
        <w:jc w:val="center"/>
      </w:pPr>
      <w:r w:rsidRPr="00B52BA0">
        <w:t xml:space="preserve">Iepirkuma procedūra Publisko iepirkumu likuma 9. panta kārtībā </w:t>
      </w:r>
    </w:p>
    <w:p w:rsidR="007B042E" w:rsidRDefault="007B042E" w:rsidP="003F7932">
      <w:pPr>
        <w:jc w:val="center"/>
        <w:rPr>
          <w:b/>
        </w:rPr>
      </w:pPr>
      <w:r w:rsidRPr="007B042E">
        <w:rPr>
          <w:b/>
        </w:rPr>
        <w:t xml:space="preserve">Kokneses novada domes un tās iestāžu darbinieku veselības apdrošināšana </w:t>
      </w:r>
    </w:p>
    <w:p w:rsidR="003F7932" w:rsidRPr="00B52BA0" w:rsidRDefault="002C75AE" w:rsidP="003F7932">
      <w:pPr>
        <w:jc w:val="center"/>
        <w:rPr>
          <w:b/>
          <w:i/>
          <w:sz w:val="16"/>
          <w:szCs w:val="16"/>
        </w:rPr>
      </w:pPr>
      <w:r w:rsidRPr="00B52BA0">
        <w:rPr>
          <w:b/>
        </w:rPr>
        <w:t>Identifikācijas Nr. KND-2018</w:t>
      </w:r>
      <w:r w:rsidR="003F7932" w:rsidRPr="00B52BA0">
        <w:rPr>
          <w:b/>
        </w:rPr>
        <w:t>/</w:t>
      </w:r>
      <w:r w:rsidR="007B042E">
        <w:rPr>
          <w:b/>
        </w:rPr>
        <w:t>2</w:t>
      </w:r>
    </w:p>
    <w:p w:rsidR="003F7932" w:rsidRPr="00B52BA0" w:rsidRDefault="003F7932" w:rsidP="003F7932">
      <w:pPr>
        <w:jc w:val="center"/>
        <w:rPr>
          <w:b/>
          <w:i/>
          <w:sz w:val="16"/>
          <w:szCs w:val="16"/>
        </w:rPr>
      </w:pPr>
    </w:p>
    <w:p w:rsidR="003F7932" w:rsidRPr="00B52BA0" w:rsidRDefault="003F7932" w:rsidP="003F7932">
      <w:pPr>
        <w:jc w:val="center"/>
        <w:rPr>
          <w:sz w:val="28"/>
          <w:szCs w:val="28"/>
        </w:rPr>
      </w:pPr>
      <w:r w:rsidRPr="00B52BA0">
        <w:rPr>
          <w:sz w:val="28"/>
          <w:szCs w:val="28"/>
        </w:rPr>
        <w:t xml:space="preserve">PROTOKOLS </w:t>
      </w:r>
    </w:p>
    <w:p w:rsidR="003F7932" w:rsidRPr="00B52BA0" w:rsidRDefault="003F7932" w:rsidP="003F7932">
      <w:pPr>
        <w:jc w:val="center"/>
        <w:rPr>
          <w:i/>
        </w:rPr>
      </w:pPr>
      <w:r w:rsidRPr="00B52BA0">
        <w:rPr>
          <w:i/>
        </w:rPr>
        <w:t>Kokneses novada Kokneses pagastā</w:t>
      </w:r>
    </w:p>
    <w:p w:rsidR="002C75AE" w:rsidRDefault="002C75AE" w:rsidP="002C75AE">
      <w:pPr>
        <w:jc w:val="center"/>
        <w:rPr>
          <w:i/>
          <w:sz w:val="18"/>
          <w:szCs w:val="18"/>
        </w:rPr>
      </w:pPr>
    </w:p>
    <w:p w:rsidR="00B52BA0" w:rsidRPr="00B52BA0" w:rsidRDefault="00B52BA0" w:rsidP="002C75AE">
      <w:pPr>
        <w:jc w:val="center"/>
        <w:rPr>
          <w:i/>
          <w:sz w:val="18"/>
          <w:szCs w:val="18"/>
        </w:rPr>
      </w:pPr>
    </w:p>
    <w:p w:rsidR="003F7932" w:rsidRPr="00B52BA0" w:rsidRDefault="000360CD" w:rsidP="00AE77EC">
      <w:pPr>
        <w:rPr>
          <w:sz w:val="18"/>
          <w:szCs w:val="18"/>
        </w:rPr>
      </w:pPr>
      <w:r>
        <w:t xml:space="preserve">2018.gada </w:t>
      </w:r>
      <w:r w:rsidR="007B042E">
        <w:t>19.februārī</w:t>
      </w:r>
      <w:r w:rsidR="002C75AE" w:rsidRPr="00B52BA0">
        <w:t xml:space="preserve">       </w:t>
      </w:r>
      <w:r w:rsidR="002C75AE" w:rsidRPr="00B52BA0">
        <w:tab/>
      </w:r>
      <w:r w:rsidR="002C75AE" w:rsidRPr="00B52BA0">
        <w:tab/>
      </w:r>
      <w:r w:rsidR="002C75AE" w:rsidRPr="00B52BA0">
        <w:tab/>
      </w:r>
      <w:r w:rsidR="002C75AE" w:rsidRPr="00B52BA0">
        <w:tab/>
      </w:r>
      <w:r w:rsidR="002C75AE" w:rsidRPr="00B52BA0">
        <w:tab/>
        <w:t xml:space="preserve">                  </w:t>
      </w:r>
      <w:r w:rsidR="0099297A" w:rsidRPr="00B52BA0">
        <w:t xml:space="preserve"> </w:t>
      </w:r>
      <w:r w:rsidR="00624502" w:rsidRPr="00B52BA0">
        <w:t xml:space="preserve">  </w:t>
      </w:r>
      <w:r w:rsidR="003F7932" w:rsidRPr="00B52BA0">
        <w:t xml:space="preserve">   </w:t>
      </w:r>
      <w:r w:rsidR="002C75AE" w:rsidRPr="00B52BA0">
        <w:t xml:space="preserve">   </w:t>
      </w:r>
      <w:r w:rsidR="00AE77EC" w:rsidRPr="00B52BA0">
        <w:t xml:space="preserve">    </w:t>
      </w:r>
      <w:r w:rsidR="003F7932" w:rsidRPr="00B52BA0">
        <w:t xml:space="preserve">  Nr</w:t>
      </w:r>
      <w:r w:rsidR="002C75AE" w:rsidRPr="00B52BA0">
        <w:t>. KND-2018/</w:t>
      </w:r>
      <w:r w:rsidR="007B042E">
        <w:t>2</w:t>
      </w:r>
      <w:r w:rsidR="00091697" w:rsidRPr="00B52BA0">
        <w:t>-</w:t>
      </w:r>
      <w:r>
        <w:t>3</w:t>
      </w:r>
      <w:r w:rsidR="003F7932" w:rsidRPr="00B52BA0">
        <w:tab/>
      </w:r>
      <w:r w:rsidR="003F7932" w:rsidRPr="00B52BA0">
        <w:rPr>
          <w:sz w:val="18"/>
          <w:szCs w:val="18"/>
        </w:rPr>
        <w:tab/>
        <w:t xml:space="preserve">      </w:t>
      </w:r>
    </w:p>
    <w:p w:rsidR="003F7932" w:rsidRPr="00B52BA0" w:rsidRDefault="00474513" w:rsidP="003F7932">
      <w:r>
        <w:t>Sēdi atklāj plkst. 1</w:t>
      </w:r>
      <w:r w:rsidR="007B042E">
        <w:t>6.</w:t>
      </w:r>
      <w:r w:rsidR="00895329" w:rsidRPr="00B52BA0">
        <w:t>0</w:t>
      </w:r>
      <w:r w:rsidR="0099297A" w:rsidRPr="00B52BA0">
        <w:t>0</w:t>
      </w:r>
    </w:p>
    <w:p w:rsidR="003F7932" w:rsidRPr="00B52BA0" w:rsidRDefault="003F7932" w:rsidP="003F7932">
      <w:pPr>
        <w:rPr>
          <w:sz w:val="18"/>
          <w:szCs w:val="18"/>
        </w:rPr>
      </w:pPr>
    </w:p>
    <w:p w:rsidR="0099297A" w:rsidRPr="00247DFC" w:rsidRDefault="0099297A" w:rsidP="0099297A">
      <w:pPr>
        <w:jc w:val="both"/>
      </w:pPr>
      <w:r w:rsidRPr="00247DFC">
        <w:t>SĒDĒ PIEDALĀS: komisijas priekšsēdētāja Dace Svētiņa;</w:t>
      </w:r>
    </w:p>
    <w:p w:rsidR="00895329" w:rsidRPr="00247DFC" w:rsidRDefault="000C71EE" w:rsidP="00895329">
      <w:r w:rsidRPr="00247DFC">
        <w:t xml:space="preserve">komisijas locekļi: </w:t>
      </w:r>
      <w:r w:rsidR="00895329" w:rsidRPr="00247DFC">
        <w:t>Dace Kļaviņa, Gunita Majore</w:t>
      </w:r>
      <w:r w:rsidR="00091697" w:rsidRPr="00247DFC">
        <w:t>, Ilze</w:t>
      </w:r>
      <w:r w:rsidR="00247DFC" w:rsidRPr="00247DFC">
        <w:t xml:space="preserve"> Pabērza, Andrejs Pastars</w:t>
      </w:r>
    </w:p>
    <w:p w:rsidR="0099297A" w:rsidRPr="00247DFC" w:rsidRDefault="0099297A" w:rsidP="0099297A">
      <w:pPr>
        <w:jc w:val="both"/>
      </w:pPr>
      <w:r w:rsidRPr="00247DFC">
        <w:t>SĒDI VADA - komisijas priekšsēdētāja Dace Svētiņa.</w:t>
      </w:r>
    </w:p>
    <w:p w:rsidR="0099297A" w:rsidRDefault="0099297A" w:rsidP="0099297A">
      <w:pPr>
        <w:jc w:val="both"/>
      </w:pPr>
      <w:r w:rsidRPr="00247DFC">
        <w:t>SĒDI PROTOKOLĒ</w:t>
      </w:r>
      <w:r w:rsidRPr="00B52BA0">
        <w:rPr>
          <w:b/>
        </w:rPr>
        <w:t xml:space="preserve"> - </w:t>
      </w:r>
      <w:r w:rsidRPr="00B52BA0">
        <w:t xml:space="preserve"> komisijas locekle, sekretāre Gunita Majore.</w:t>
      </w:r>
    </w:p>
    <w:p w:rsidR="00247DFC" w:rsidRPr="00B52BA0" w:rsidRDefault="00247DFC" w:rsidP="0099297A">
      <w:pPr>
        <w:jc w:val="both"/>
      </w:pPr>
      <w:r>
        <w:t>SĒDĒ NEPIEDALĀS – komisijas locekle - Anita Ozola</w:t>
      </w:r>
    </w:p>
    <w:p w:rsidR="0099297A" w:rsidRPr="00B52BA0" w:rsidRDefault="0099297A" w:rsidP="0099297A">
      <w:pPr>
        <w:rPr>
          <w:sz w:val="18"/>
          <w:szCs w:val="18"/>
        </w:rPr>
      </w:pPr>
    </w:p>
    <w:p w:rsidR="0099297A" w:rsidRPr="00B52BA0" w:rsidRDefault="0099297A" w:rsidP="00AE77EC">
      <w:pPr>
        <w:ind w:right="1"/>
        <w:jc w:val="both"/>
        <w:rPr>
          <w:sz w:val="20"/>
          <w:szCs w:val="20"/>
        </w:rPr>
      </w:pPr>
      <w:r w:rsidRPr="00B52BA0">
        <w:rPr>
          <w:sz w:val="20"/>
          <w:szCs w:val="20"/>
        </w:rPr>
        <w:t>Pamatojoties uz likuma „Par pašvaldībām” 61.pantu atsevišķu pašvaldības funkciju pildīšanai ar Kokneses novada domes 28.08.2013. lēmumu Nr.6.1., (protokols Nr.10) izveidota Centralizēto iepirkumu komisija, kuras sastāvā veikti grozījumi: ar 27.11.2013. lēmumu Nr.6.4. (protokols Nr.16); ar 26.02.2014. lēmumu Nr.7.3. (protokols Nr.3); ar 29.04.2015. lēmumu Nr.7.14. (protokols Nr.6); ar 26.06.2015. lēmumu Nr.6.2. (protokols Nr.8); ar 27.01.2016. lēmumu Nr.9.7. (protokols Nr.1); ar 30.03.2016. lēmumu Nr.5.3. (protokols Nr.3); ar 28.09.2016. lēmumu Nr.7.7. (protokols Nr.9).</w:t>
      </w:r>
    </w:p>
    <w:p w:rsidR="003F7932" w:rsidRPr="00B52BA0" w:rsidRDefault="003F7932" w:rsidP="00AE77EC">
      <w:pPr>
        <w:ind w:right="1"/>
        <w:jc w:val="both"/>
        <w:rPr>
          <w:sz w:val="18"/>
          <w:szCs w:val="18"/>
        </w:rPr>
      </w:pPr>
    </w:p>
    <w:p w:rsidR="0099297A" w:rsidRPr="00B52BA0" w:rsidRDefault="0099297A" w:rsidP="0099297A">
      <w:pPr>
        <w:rPr>
          <w:b/>
        </w:rPr>
      </w:pPr>
      <w:r w:rsidRPr="00B52BA0">
        <w:rPr>
          <w:b/>
        </w:rPr>
        <w:t>DARBA KĀRTĪBA:</w:t>
      </w:r>
    </w:p>
    <w:p w:rsidR="007E30AE" w:rsidRPr="00B52BA0" w:rsidRDefault="007E30AE" w:rsidP="0099297A">
      <w:pPr>
        <w:rPr>
          <w:b/>
          <w:sz w:val="18"/>
          <w:szCs w:val="18"/>
        </w:rPr>
      </w:pPr>
    </w:p>
    <w:p w:rsidR="000360CD" w:rsidRDefault="000360CD" w:rsidP="000360CD">
      <w:pPr>
        <w:jc w:val="both"/>
      </w:pPr>
      <w:r>
        <w:t>1. Pretendentu iesniegto piedāvājumu apzināšana;</w:t>
      </w:r>
    </w:p>
    <w:p w:rsidR="000360CD" w:rsidRDefault="000360CD" w:rsidP="000360CD">
      <w:pPr>
        <w:jc w:val="both"/>
      </w:pPr>
      <w:r>
        <w:t>2. Pretendentu iesniegto piedāvājumu noformējuma pārbaude;</w:t>
      </w:r>
    </w:p>
    <w:p w:rsidR="000360CD" w:rsidRDefault="000360CD" w:rsidP="000360CD">
      <w:pPr>
        <w:jc w:val="both"/>
      </w:pPr>
      <w:r>
        <w:t>3. Pretendentu iesniegto atlases dokumentu pārbaude;</w:t>
      </w:r>
    </w:p>
    <w:p w:rsidR="000360CD" w:rsidRDefault="000360CD" w:rsidP="000360CD">
      <w:pPr>
        <w:jc w:val="both"/>
      </w:pPr>
      <w:r>
        <w:t>4. Pretendentu iesniegto tehnisko piedāvājumu pārbaude;</w:t>
      </w:r>
    </w:p>
    <w:p w:rsidR="00474513" w:rsidRDefault="00474513" w:rsidP="000360CD">
      <w:pPr>
        <w:jc w:val="both"/>
      </w:pPr>
      <w:r>
        <w:t xml:space="preserve">5. </w:t>
      </w:r>
      <w:r w:rsidRPr="00474513">
        <w:t>Pretendentu iesniegto finanšu piedāvājumu pārbaude</w:t>
      </w:r>
      <w:r>
        <w:t>;</w:t>
      </w:r>
    </w:p>
    <w:p w:rsidR="000360CD" w:rsidRDefault="00BF6789" w:rsidP="000360CD">
      <w:pPr>
        <w:jc w:val="both"/>
      </w:pPr>
      <w:r>
        <w:t>6</w:t>
      </w:r>
      <w:r w:rsidR="000360CD">
        <w:t>. Nolikuma prasībām atbilstošo pretendentu piedāvājumu saraksta izveidošana</w:t>
      </w:r>
      <w:r w:rsidR="009E52EF">
        <w:t xml:space="preserve"> un</w:t>
      </w:r>
      <w:r w:rsidR="009E52EF" w:rsidRPr="009E52EF">
        <w:t xml:space="preserve"> </w:t>
      </w:r>
      <w:r w:rsidR="009E52EF">
        <w:t>Pretendenta, kuram būtu piešķiramas līguma slēgšanas tiesības, noteikšana</w:t>
      </w:r>
      <w:r w:rsidR="00884591">
        <w:t>;</w:t>
      </w:r>
    </w:p>
    <w:p w:rsidR="000360CD" w:rsidRDefault="00BF6789" w:rsidP="000360CD">
      <w:pPr>
        <w:jc w:val="both"/>
      </w:pPr>
      <w:r>
        <w:t>7</w:t>
      </w:r>
      <w:r w:rsidR="000360CD">
        <w:t xml:space="preserve">. </w:t>
      </w:r>
      <w:r w:rsidR="009E52EF">
        <w:t>Izslēgšanas nosacījumu pārbaude par pretendentu</w:t>
      </w:r>
      <w:r w:rsidR="009E52EF" w:rsidRPr="009E52EF">
        <w:t>, kur</w:t>
      </w:r>
      <w:r w:rsidR="009E52EF">
        <w:t>am</w:t>
      </w:r>
      <w:r w:rsidR="009E52EF" w:rsidRPr="009E52EF">
        <w:t xml:space="preserve"> būtu piešķiramas līguma slēgšanas tiesības</w:t>
      </w:r>
      <w:r w:rsidR="00884591">
        <w:t>;</w:t>
      </w:r>
    </w:p>
    <w:p w:rsidR="009E52EF" w:rsidRDefault="009E52EF" w:rsidP="000360CD">
      <w:pPr>
        <w:jc w:val="both"/>
      </w:pPr>
      <w:r>
        <w:t>8</w:t>
      </w:r>
      <w:r w:rsidR="000360CD">
        <w:t>.</w:t>
      </w:r>
      <w:r>
        <w:t xml:space="preserve"> Lēmuma pieņemšana par iepirkuma līguma slēgšanas tiesībām.</w:t>
      </w:r>
    </w:p>
    <w:p w:rsidR="002C75AE" w:rsidRPr="00B52BA0" w:rsidRDefault="002C75AE" w:rsidP="002C75AE">
      <w:pPr>
        <w:jc w:val="both"/>
      </w:pPr>
    </w:p>
    <w:p w:rsidR="002C75AE" w:rsidRPr="00B52BA0" w:rsidRDefault="002C75AE" w:rsidP="002C75AE">
      <w:pPr>
        <w:tabs>
          <w:tab w:val="num" w:pos="0"/>
        </w:tabs>
        <w:rPr>
          <w:b/>
          <w:sz w:val="18"/>
          <w:szCs w:val="18"/>
        </w:rPr>
      </w:pPr>
    </w:p>
    <w:p w:rsidR="00091697" w:rsidRPr="000360CD" w:rsidRDefault="000360CD" w:rsidP="000360CD">
      <w:pPr>
        <w:tabs>
          <w:tab w:val="num" w:pos="0"/>
        </w:tabs>
        <w:jc w:val="center"/>
        <w:rPr>
          <w:b/>
        </w:rPr>
      </w:pPr>
      <w:r w:rsidRPr="000360CD">
        <w:rPr>
          <w:b/>
        </w:rPr>
        <w:t>1. Pretendentu iesniegto piedāvājumu apzināšana</w:t>
      </w:r>
    </w:p>
    <w:p w:rsidR="00091697" w:rsidRPr="00B52BA0" w:rsidRDefault="00884591" w:rsidP="00884591">
      <w:pPr>
        <w:pStyle w:val="Sarakstarindkopa"/>
        <w:numPr>
          <w:ilvl w:val="1"/>
          <w:numId w:val="5"/>
        </w:numPr>
        <w:ind w:left="142" w:firstLine="0"/>
        <w:jc w:val="both"/>
      </w:pPr>
      <w:r>
        <w:rPr>
          <w:lang w:eastAsia="lv-LV"/>
        </w:rPr>
        <w:t xml:space="preserve"> </w:t>
      </w:r>
      <w:r w:rsidR="00091697" w:rsidRPr="00B52BA0">
        <w:rPr>
          <w:lang w:eastAsia="lv-LV"/>
        </w:rPr>
        <w:t xml:space="preserve">Iepirkumu komisija </w:t>
      </w:r>
      <w:r w:rsidR="000360CD">
        <w:rPr>
          <w:lang w:eastAsia="lv-LV"/>
        </w:rPr>
        <w:t>201</w:t>
      </w:r>
      <w:r w:rsidR="00F22764">
        <w:rPr>
          <w:lang w:eastAsia="lv-LV"/>
        </w:rPr>
        <w:t>8</w:t>
      </w:r>
      <w:r w:rsidR="000360CD">
        <w:rPr>
          <w:lang w:eastAsia="lv-LV"/>
        </w:rPr>
        <w:t xml:space="preserve">.gada </w:t>
      </w:r>
      <w:r w:rsidR="007B042E">
        <w:rPr>
          <w:lang w:eastAsia="lv-LV"/>
        </w:rPr>
        <w:t>12.februāra</w:t>
      </w:r>
      <w:r w:rsidR="000360CD">
        <w:rPr>
          <w:lang w:eastAsia="lv-LV"/>
        </w:rPr>
        <w:t xml:space="preserve"> sēdē </w:t>
      </w:r>
      <w:r w:rsidR="00091697" w:rsidRPr="00B52BA0">
        <w:rPr>
          <w:lang w:eastAsia="lv-LV"/>
        </w:rPr>
        <w:t>saņēma un atvēra sekojošus pretendentu piedāvājumus:</w:t>
      </w:r>
    </w:p>
    <w:tbl>
      <w:tblPr>
        <w:tblpPr w:leftFromText="180" w:rightFromText="180" w:vertAnchor="text" w:tblpX="137"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44"/>
        <w:gridCol w:w="1842"/>
        <w:gridCol w:w="2949"/>
      </w:tblGrid>
      <w:tr w:rsidR="007B042E" w:rsidRPr="00B52BA0" w:rsidTr="007B042E">
        <w:trPr>
          <w:trHeight w:val="557"/>
        </w:trPr>
        <w:tc>
          <w:tcPr>
            <w:tcW w:w="846" w:type="dxa"/>
            <w:shd w:val="clear" w:color="auto" w:fill="auto"/>
            <w:vAlign w:val="center"/>
          </w:tcPr>
          <w:p w:rsidR="007B042E" w:rsidRPr="00B52BA0" w:rsidRDefault="007B042E" w:rsidP="007B042E">
            <w:pPr>
              <w:jc w:val="center"/>
            </w:pPr>
            <w:r w:rsidRPr="00B52BA0">
              <w:t>Nr. p.k.</w:t>
            </w:r>
          </w:p>
        </w:tc>
        <w:tc>
          <w:tcPr>
            <w:tcW w:w="3544" w:type="dxa"/>
            <w:shd w:val="clear" w:color="auto" w:fill="auto"/>
            <w:vAlign w:val="center"/>
          </w:tcPr>
          <w:p w:rsidR="007B042E" w:rsidRPr="00B52BA0" w:rsidRDefault="007B042E" w:rsidP="007B042E">
            <w:pPr>
              <w:jc w:val="center"/>
            </w:pPr>
            <w:r w:rsidRPr="00B52BA0">
              <w:t>Pretendents</w:t>
            </w:r>
          </w:p>
        </w:tc>
        <w:tc>
          <w:tcPr>
            <w:tcW w:w="1842" w:type="dxa"/>
            <w:shd w:val="clear" w:color="auto" w:fill="auto"/>
            <w:vAlign w:val="center"/>
          </w:tcPr>
          <w:p w:rsidR="007B042E" w:rsidRPr="00B52BA0" w:rsidRDefault="007B042E" w:rsidP="007B042E">
            <w:pPr>
              <w:jc w:val="center"/>
            </w:pPr>
            <w:r>
              <w:t>Polises cena 1 darbiniekam EUR bez PVN</w:t>
            </w:r>
          </w:p>
        </w:tc>
        <w:tc>
          <w:tcPr>
            <w:tcW w:w="2949" w:type="dxa"/>
            <w:shd w:val="clear" w:color="auto" w:fill="auto"/>
            <w:vAlign w:val="center"/>
          </w:tcPr>
          <w:p w:rsidR="007B042E" w:rsidRPr="00B52BA0" w:rsidRDefault="007B042E" w:rsidP="007B042E">
            <w:pPr>
              <w:jc w:val="center"/>
            </w:pPr>
            <w:r>
              <w:t>Kopējā apdrošināšanas prēmija gadā</w:t>
            </w:r>
            <w:r w:rsidRPr="00B52BA0">
              <w:t xml:space="preserve"> EUR bez PVN</w:t>
            </w:r>
          </w:p>
        </w:tc>
      </w:tr>
      <w:tr w:rsidR="007B042E" w:rsidRPr="00B52BA0" w:rsidTr="007B042E">
        <w:trPr>
          <w:trHeight w:val="274"/>
        </w:trPr>
        <w:tc>
          <w:tcPr>
            <w:tcW w:w="846" w:type="dxa"/>
            <w:shd w:val="clear" w:color="auto" w:fill="auto"/>
          </w:tcPr>
          <w:p w:rsidR="007B042E" w:rsidRPr="00B52BA0" w:rsidRDefault="007B042E" w:rsidP="007B042E">
            <w:pPr>
              <w:numPr>
                <w:ilvl w:val="0"/>
                <w:numId w:val="1"/>
              </w:numPr>
              <w:jc w:val="center"/>
            </w:pPr>
          </w:p>
        </w:tc>
        <w:tc>
          <w:tcPr>
            <w:tcW w:w="3544" w:type="dxa"/>
            <w:shd w:val="clear" w:color="auto" w:fill="auto"/>
          </w:tcPr>
          <w:p w:rsidR="005F766A" w:rsidRDefault="005F766A" w:rsidP="007B042E"/>
          <w:p w:rsidR="007B042E" w:rsidRDefault="007B042E" w:rsidP="007B042E">
            <w:r>
              <w:t xml:space="preserve">ASS “BTA </w:t>
            </w:r>
            <w:proofErr w:type="spellStart"/>
            <w:r>
              <w:t>Baltic</w:t>
            </w:r>
            <w:proofErr w:type="spellEnd"/>
            <w:r>
              <w:t xml:space="preserve"> Insurance </w:t>
            </w:r>
            <w:proofErr w:type="spellStart"/>
            <w:r>
              <w:t>Company</w:t>
            </w:r>
            <w:proofErr w:type="spellEnd"/>
            <w:r>
              <w:t>”</w:t>
            </w:r>
          </w:p>
          <w:p w:rsidR="005F766A" w:rsidRPr="00B52BA0" w:rsidRDefault="005F766A" w:rsidP="007B042E"/>
        </w:tc>
        <w:tc>
          <w:tcPr>
            <w:tcW w:w="1842" w:type="dxa"/>
            <w:shd w:val="clear" w:color="auto" w:fill="auto"/>
          </w:tcPr>
          <w:p w:rsidR="005F766A" w:rsidRDefault="005F766A" w:rsidP="005F766A">
            <w:pPr>
              <w:jc w:val="center"/>
            </w:pPr>
          </w:p>
          <w:p w:rsidR="007B042E" w:rsidRDefault="005F766A" w:rsidP="005F766A">
            <w:pPr>
              <w:jc w:val="center"/>
            </w:pPr>
            <w:r>
              <w:t>114.40</w:t>
            </w:r>
          </w:p>
          <w:p w:rsidR="005F766A" w:rsidRPr="00B52BA0" w:rsidRDefault="005F766A" w:rsidP="005F766A">
            <w:pPr>
              <w:jc w:val="center"/>
            </w:pPr>
          </w:p>
        </w:tc>
        <w:tc>
          <w:tcPr>
            <w:tcW w:w="2949" w:type="dxa"/>
            <w:shd w:val="clear" w:color="auto" w:fill="auto"/>
          </w:tcPr>
          <w:p w:rsidR="005F766A" w:rsidRDefault="005F766A" w:rsidP="005F766A">
            <w:pPr>
              <w:jc w:val="center"/>
            </w:pPr>
          </w:p>
          <w:p w:rsidR="007B042E" w:rsidRPr="00B52BA0" w:rsidRDefault="007B042E" w:rsidP="005F766A">
            <w:pPr>
              <w:jc w:val="center"/>
            </w:pPr>
            <w:r>
              <w:t>40040.00</w:t>
            </w:r>
          </w:p>
        </w:tc>
      </w:tr>
    </w:tbl>
    <w:p w:rsidR="00474513" w:rsidRDefault="00474513" w:rsidP="00474513">
      <w:pPr>
        <w:pStyle w:val="Sarakstarindkopa"/>
        <w:ind w:left="426"/>
        <w:jc w:val="both"/>
      </w:pPr>
    </w:p>
    <w:p w:rsidR="005F766A" w:rsidRDefault="005F766A" w:rsidP="00104CF5">
      <w:pPr>
        <w:pStyle w:val="Sarakstarindkopa"/>
        <w:ind w:left="1080"/>
        <w:jc w:val="center"/>
        <w:rPr>
          <w:b/>
        </w:rPr>
      </w:pPr>
    </w:p>
    <w:p w:rsidR="00104CF5" w:rsidRPr="00104CF5" w:rsidRDefault="00104CF5" w:rsidP="00104CF5">
      <w:pPr>
        <w:pStyle w:val="Sarakstarindkopa"/>
        <w:ind w:left="1080"/>
        <w:jc w:val="center"/>
        <w:rPr>
          <w:b/>
        </w:rPr>
      </w:pPr>
      <w:r w:rsidRPr="00104CF5">
        <w:rPr>
          <w:b/>
        </w:rPr>
        <w:t>2. Pretendentu iesniegto piedāvājumu noformējuma pārbaude</w:t>
      </w:r>
    </w:p>
    <w:p w:rsidR="00104CF5" w:rsidRDefault="007B042E" w:rsidP="00104CF5">
      <w:pPr>
        <w:ind w:firstLine="720"/>
        <w:jc w:val="both"/>
      </w:pPr>
      <w:r>
        <w:t>Komisija pārbauda pretendenta</w:t>
      </w:r>
      <w:r w:rsidR="00104CF5">
        <w:t xml:space="preserve"> </w:t>
      </w:r>
      <w:r w:rsidRPr="007B042E">
        <w:t xml:space="preserve">ASS “BTA </w:t>
      </w:r>
      <w:proofErr w:type="spellStart"/>
      <w:r w:rsidRPr="007B042E">
        <w:t>Baltic</w:t>
      </w:r>
      <w:proofErr w:type="spellEnd"/>
      <w:r w:rsidRPr="007B042E">
        <w:t xml:space="preserve"> Insurance </w:t>
      </w:r>
      <w:proofErr w:type="spellStart"/>
      <w:r w:rsidRPr="007B042E">
        <w:t>Company”</w:t>
      </w:r>
      <w:r>
        <w:t>iesniegtā</w:t>
      </w:r>
      <w:proofErr w:type="spellEnd"/>
      <w:r>
        <w:t xml:space="preserve"> piedāvājuma</w:t>
      </w:r>
      <w:r w:rsidR="00104CF5">
        <w:t xml:space="preserve"> noformējuma atbilstību. K</w:t>
      </w:r>
      <w:r>
        <w:t>omisija konstatē, ka pretendenta</w:t>
      </w:r>
      <w:r w:rsidR="00104CF5">
        <w:t xml:space="preserve"> iesniegt</w:t>
      </w:r>
      <w:r>
        <w:t>ais piedāvājuma</w:t>
      </w:r>
      <w:r w:rsidR="00104CF5">
        <w:t xml:space="preserve"> noformējums atbilst iepirkuma procedūras nolikuma prasībām. Komi</w:t>
      </w:r>
      <w:r>
        <w:t>sija nolemj turpināt pretendenta</w:t>
      </w:r>
      <w:r w:rsidR="00104CF5">
        <w:t xml:space="preserve"> </w:t>
      </w:r>
      <w:r w:rsidRPr="007B042E">
        <w:t xml:space="preserve">ASS “BTA </w:t>
      </w:r>
      <w:proofErr w:type="spellStart"/>
      <w:r w:rsidRPr="007B042E">
        <w:t>Baltic</w:t>
      </w:r>
      <w:proofErr w:type="spellEnd"/>
      <w:r w:rsidRPr="007B042E">
        <w:t xml:space="preserve"> Insurance </w:t>
      </w:r>
      <w:proofErr w:type="spellStart"/>
      <w:r w:rsidRPr="007B042E">
        <w:t>Company</w:t>
      </w:r>
      <w:proofErr w:type="spellEnd"/>
      <w:r w:rsidRPr="007B042E">
        <w:t>”</w:t>
      </w:r>
      <w:r>
        <w:t xml:space="preserve"> iesniegtā piedāvājuma</w:t>
      </w:r>
      <w:r w:rsidR="00104CF5">
        <w:t xml:space="preserve"> izvērtēšanu, veicot atlases dokumentu pārbaudi.</w:t>
      </w:r>
    </w:p>
    <w:p w:rsidR="00104CF5" w:rsidRDefault="00104CF5" w:rsidP="00104CF5">
      <w:pPr>
        <w:ind w:firstLine="720"/>
        <w:jc w:val="both"/>
      </w:pPr>
    </w:p>
    <w:p w:rsidR="00F9496A" w:rsidRDefault="00F9496A" w:rsidP="00F9496A">
      <w:pPr>
        <w:pStyle w:val="Sarakstarindkopa"/>
        <w:ind w:left="360"/>
        <w:jc w:val="center"/>
      </w:pPr>
      <w:r>
        <w:rPr>
          <w:b/>
        </w:rPr>
        <w:t>3.</w:t>
      </w:r>
      <w:r w:rsidR="007B042E">
        <w:rPr>
          <w:b/>
        </w:rPr>
        <w:t xml:space="preserve"> </w:t>
      </w:r>
      <w:r w:rsidRPr="00F9496A">
        <w:rPr>
          <w:b/>
        </w:rPr>
        <w:t>Pretendentu iesniegto atlases dokumentu pārbaude</w:t>
      </w:r>
    </w:p>
    <w:p w:rsidR="00F9496A" w:rsidRDefault="00F9496A" w:rsidP="00F9496A">
      <w:pPr>
        <w:ind w:firstLine="360"/>
        <w:jc w:val="both"/>
      </w:pPr>
      <w:r>
        <w:t>Iepirku</w:t>
      </w:r>
      <w:r w:rsidR="007B042E">
        <w:t>mu komisija pārbauda pretendenta</w:t>
      </w:r>
      <w:r>
        <w:t xml:space="preserve"> iesniegto atlases dokumentu atbils</w:t>
      </w:r>
      <w:r w:rsidR="007B042E">
        <w:t>tību un konstatē, ka pretendenta</w:t>
      </w:r>
      <w:r>
        <w:t xml:space="preserve"> </w:t>
      </w:r>
      <w:r w:rsidR="007B042E" w:rsidRPr="007B042E">
        <w:t xml:space="preserve">ASS “BTA </w:t>
      </w:r>
      <w:proofErr w:type="spellStart"/>
      <w:r w:rsidR="007B042E" w:rsidRPr="007B042E">
        <w:t>Baltic</w:t>
      </w:r>
      <w:proofErr w:type="spellEnd"/>
      <w:r w:rsidR="007B042E" w:rsidRPr="007B042E">
        <w:t xml:space="preserve"> Insurance </w:t>
      </w:r>
      <w:proofErr w:type="spellStart"/>
      <w:r w:rsidR="007B042E" w:rsidRPr="007B042E">
        <w:t>Company</w:t>
      </w:r>
      <w:proofErr w:type="spellEnd"/>
      <w:r w:rsidR="007B042E" w:rsidRPr="007B042E">
        <w:t>”</w:t>
      </w:r>
      <w:r w:rsidRPr="00F9496A">
        <w:t xml:space="preserve"> </w:t>
      </w:r>
      <w:r>
        <w:t xml:space="preserve"> iesniegtie atlases dokumenti atbilst iepirkuma procedūras nolikuma 7.2. punktā noteiktajām prasībām un iesniegti saskaņā ar nolikuma 3.pielikumu. Komisija nolemj turpināt pre</w:t>
      </w:r>
      <w:r w:rsidR="007B042E">
        <w:t>tendenta</w:t>
      </w:r>
      <w:r>
        <w:t xml:space="preserve"> </w:t>
      </w:r>
      <w:r w:rsidR="007B042E" w:rsidRPr="007B042E">
        <w:t xml:space="preserve">ASS “BTA </w:t>
      </w:r>
      <w:proofErr w:type="spellStart"/>
      <w:r w:rsidR="007B042E" w:rsidRPr="007B042E">
        <w:t>Baltic</w:t>
      </w:r>
      <w:proofErr w:type="spellEnd"/>
      <w:r w:rsidR="007B042E" w:rsidRPr="007B042E">
        <w:t xml:space="preserve"> Insurance </w:t>
      </w:r>
      <w:proofErr w:type="spellStart"/>
      <w:r w:rsidR="007B042E" w:rsidRPr="007B042E">
        <w:t>Company</w:t>
      </w:r>
      <w:proofErr w:type="spellEnd"/>
      <w:r w:rsidR="007B042E" w:rsidRPr="007B042E">
        <w:t>”</w:t>
      </w:r>
      <w:r w:rsidR="007B042E">
        <w:t xml:space="preserve"> piedāvājuma</w:t>
      </w:r>
      <w:r>
        <w:t xml:space="preserve"> izvērtēšanu, veicot tehnisko un finanšu piedāvājumu pārbaudi.</w:t>
      </w:r>
    </w:p>
    <w:p w:rsidR="00F9496A" w:rsidRDefault="00F9496A" w:rsidP="00F9496A">
      <w:pPr>
        <w:ind w:firstLine="360"/>
        <w:jc w:val="both"/>
      </w:pPr>
    </w:p>
    <w:p w:rsidR="00F9496A" w:rsidRPr="00F9496A" w:rsidRDefault="00F9496A" w:rsidP="00F9496A">
      <w:pPr>
        <w:pStyle w:val="Sarakstarindkopa"/>
        <w:numPr>
          <w:ilvl w:val="0"/>
          <w:numId w:val="6"/>
        </w:numPr>
        <w:jc w:val="center"/>
        <w:rPr>
          <w:b/>
        </w:rPr>
      </w:pPr>
      <w:r w:rsidRPr="00F9496A">
        <w:rPr>
          <w:b/>
        </w:rPr>
        <w:t>Pretendentu iesniegto tehnisko piedāvājumu pārbaude</w:t>
      </w:r>
    </w:p>
    <w:p w:rsidR="00F9496A" w:rsidRDefault="00551A2A" w:rsidP="00551A2A">
      <w:pPr>
        <w:ind w:firstLine="360"/>
        <w:jc w:val="both"/>
      </w:pPr>
      <w:r>
        <w:t>Iepirkumu k</w:t>
      </w:r>
      <w:r w:rsidR="00F4271E">
        <w:t>omisija pārbauda pretendent</w:t>
      </w:r>
      <w:r w:rsidR="00562D9B">
        <w:t>a</w:t>
      </w:r>
      <w:r w:rsidR="00F4271E">
        <w:t xml:space="preserve">  iesniegto tehnisko</w:t>
      </w:r>
      <w:r w:rsidR="00562D9B">
        <w:t xml:space="preserve"> piedāvājumu</w:t>
      </w:r>
      <w:r w:rsidR="00F4271E">
        <w:t xml:space="preserve"> un konstatē, ka pretendent</w:t>
      </w:r>
      <w:r w:rsidR="00562D9B">
        <w:t>a</w:t>
      </w:r>
      <w:r w:rsidR="00F4271E">
        <w:t xml:space="preserve"> </w:t>
      </w:r>
      <w:r w:rsidR="00562D9B" w:rsidRPr="00562D9B">
        <w:t xml:space="preserve">ASS “BTA </w:t>
      </w:r>
      <w:proofErr w:type="spellStart"/>
      <w:r w:rsidR="00562D9B" w:rsidRPr="00562D9B">
        <w:t>Baltic</w:t>
      </w:r>
      <w:proofErr w:type="spellEnd"/>
      <w:r w:rsidR="00562D9B" w:rsidRPr="00562D9B">
        <w:t xml:space="preserve"> Insurance </w:t>
      </w:r>
      <w:proofErr w:type="spellStart"/>
      <w:r w:rsidR="00562D9B" w:rsidRPr="00562D9B">
        <w:t>Company</w:t>
      </w:r>
      <w:proofErr w:type="spellEnd"/>
      <w:r w:rsidR="00562D9B" w:rsidRPr="00562D9B">
        <w:t xml:space="preserve">”  </w:t>
      </w:r>
      <w:r w:rsidR="00562D9B">
        <w:t>iesniegtais tehniskais</w:t>
      </w:r>
      <w:r w:rsidR="00F4271E">
        <w:t xml:space="preserve"> piedāvā</w:t>
      </w:r>
      <w:r w:rsidR="00562D9B">
        <w:t>jums</w:t>
      </w:r>
      <w:r w:rsidR="00F4271E">
        <w:t xml:space="preserve"> atbilst iepirkuma procedūras nolikuma </w:t>
      </w:r>
      <w:r w:rsidR="00474513">
        <w:t xml:space="preserve">8.punkta </w:t>
      </w:r>
      <w:r w:rsidR="00F4271E">
        <w:t>prasībām</w:t>
      </w:r>
      <w:r w:rsidR="00474513">
        <w:t xml:space="preserve"> un sagatavot</w:t>
      </w:r>
      <w:r w:rsidR="00562D9B">
        <w:t>s</w:t>
      </w:r>
      <w:r w:rsidR="00474513">
        <w:t xml:space="preserve"> saskaņā ar nolikuma </w:t>
      </w:r>
      <w:r w:rsidR="001A1F02">
        <w:t>2</w:t>
      </w:r>
      <w:r w:rsidR="00474513">
        <w:t>.pielikumu.</w:t>
      </w:r>
      <w:r w:rsidR="00F4271E">
        <w:t xml:space="preserve"> </w:t>
      </w:r>
      <w:r w:rsidR="00474513">
        <w:t xml:space="preserve">Komisija </w:t>
      </w:r>
      <w:r w:rsidR="001A1F02">
        <w:t>nolemj turpināt pretendenta</w:t>
      </w:r>
      <w:r w:rsidR="00F4271E">
        <w:t xml:space="preserve"> iesniegt</w:t>
      </w:r>
      <w:r w:rsidR="001A1F02">
        <w:t>ā piedāvājuma</w:t>
      </w:r>
      <w:r w:rsidR="00F4271E">
        <w:t xml:space="preserve"> izvērtēšanu</w:t>
      </w:r>
      <w:r w:rsidR="00474513">
        <w:t xml:space="preserve"> veicot finanšu piedāvājum</w:t>
      </w:r>
      <w:r w:rsidR="001A1F02">
        <w:t>a</w:t>
      </w:r>
      <w:r w:rsidR="00474513">
        <w:t xml:space="preserve"> pārbaudi</w:t>
      </w:r>
      <w:r w:rsidR="00F4271E">
        <w:t>.</w:t>
      </w:r>
    </w:p>
    <w:p w:rsidR="00F9496A" w:rsidRPr="00F9496A" w:rsidRDefault="00F9496A" w:rsidP="00F9496A">
      <w:pPr>
        <w:jc w:val="center"/>
        <w:rPr>
          <w:b/>
        </w:rPr>
      </w:pPr>
      <w:r>
        <w:rPr>
          <w:b/>
        </w:rPr>
        <w:t xml:space="preserve">5. Pretendentu iesniegto </w:t>
      </w:r>
      <w:r w:rsidRPr="00F9496A">
        <w:rPr>
          <w:b/>
        </w:rPr>
        <w:t>finanšu piedāvājumu pārbaude</w:t>
      </w:r>
    </w:p>
    <w:p w:rsidR="00474513" w:rsidRPr="00AF2B69" w:rsidRDefault="00474513" w:rsidP="00474513">
      <w:pPr>
        <w:ind w:firstLine="720"/>
        <w:jc w:val="both"/>
      </w:pPr>
      <w:r w:rsidRPr="00474513">
        <w:t>Iepirku</w:t>
      </w:r>
      <w:r w:rsidR="001A1F02">
        <w:t>mu komisija pārbauda pretendenta</w:t>
      </w:r>
      <w:r w:rsidR="00562D9B">
        <w:t xml:space="preserve">  iesniegto</w:t>
      </w:r>
      <w:r w:rsidRPr="00474513">
        <w:t xml:space="preserve"> </w:t>
      </w:r>
      <w:r>
        <w:t>finanšu</w:t>
      </w:r>
      <w:r w:rsidRPr="00474513">
        <w:t xml:space="preserve"> piedāvāj</w:t>
      </w:r>
      <w:r w:rsidR="001A1F02">
        <w:t>umu un konstatē, ka pretendenta</w:t>
      </w:r>
      <w:r w:rsidRPr="00474513">
        <w:t xml:space="preserve"> </w:t>
      </w:r>
      <w:r w:rsidR="001A1F02" w:rsidRPr="001A1F02">
        <w:t xml:space="preserve">ASS “BTA </w:t>
      </w:r>
      <w:proofErr w:type="spellStart"/>
      <w:r w:rsidR="001A1F02" w:rsidRPr="001A1F02">
        <w:t>Baltic</w:t>
      </w:r>
      <w:proofErr w:type="spellEnd"/>
      <w:r w:rsidR="001A1F02" w:rsidRPr="001A1F02">
        <w:t xml:space="preserve"> Insurance </w:t>
      </w:r>
      <w:proofErr w:type="spellStart"/>
      <w:r w:rsidR="001A1F02" w:rsidRPr="001A1F02">
        <w:t>Company</w:t>
      </w:r>
      <w:proofErr w:type="spellEnd"/>
      <w:r w:rsidR="001A1F02" w:rsidRPr="001A1F02">
        <w:t>”</w:t>
      </w:r>
      <w:r w:rsidR="001A1F02">
        <w:t xml:space="preserve"> </w:t>
      </w:r>
      <w:r w:rsidR="00562D9B">
        <w:t>iesniegtais</w:t>
      </w:r>
      <w:r w:rsidRPr="00474513">
        <w:t xml:space="preserve"> </w:t>
      </w:r>
      <w:r>
        <w:t>finanšu</w:t>
      </w:r>
      <w:r w:rsidRPr="00474513">
        <w:t xml:space="preserve"> piedāvājum</w:t>
      </w:r>
      <w:r w:rsidR="001A1F02">
        <w:t>s</w:t>
      </w:r>
      <w:r w:rsidRPr="00474513">
        <w:t xml:space="preserve"> atbilst iepirkuma procedūras nolikuma </w:t>
      </w:r>
      <w:r>
        <w:t>9</w:t>
      </w:r>
      <w:r w:rsidRPr="00474513">
        <w:t xml:space="preserve">.punkta prasībām un sagatavoti saskaņā ar nolikuma </w:t>
      </w:r>
      <w:r w:rsidR="001A1F02">
        <w:t>1</w:t>
      </w:r>
      <w:r w:rsidRPr="00474513">
        <w:t>.pielikumu.</w:t>
      </w:r>
      <w:r>
        <w:t xml:space="preserve"> </w:t>
      </w:r>
      <w:r w:rsidR="00562D9B">
        <w:t>Piedāvājuma</w:t>
      </w:r>
      <w:r w:rsidRPr="00474513">
        <w:t xml:space="preserve"> vērtēšanas laikā </w:t>
      </w:r>
      <w:r>
        <w:t>komisija pārbauda</w:t>
      </w:r>
      <w:r w:rsidRPr="00474513">
        <w:t xml:space="preserve"> vai piedāvājumā nav aritmētisku kļūdu</w:t>
      </w:r>
      <w:r>
        <w:t xml:space="preserve"> un konstatē, ka pretendenti aritmētiskas kļūdas nav pieļāvuši.</w:t>
      </w:r>
      <w:r w:rsidRPr="00474513">
        <w:t xml:space="preserve"> Komisija nolemj turpināt pretendentu iesniegto piedāvājumu izvērtēšanu</w:t>
      </w:r>
      <w:r>
        <w:t xml:space="preserve">, </w:t>
      </w:r>
      <w:r w:rsidRPr="00474513">
        <w:t>izveidojot nolikuma prasībām atbilstošo piedāvājumu sarakstu.</w:t>
      </w:r>
    </w:p>
    <w:p w:rsidR="00474513" w:rsidRDefault="00474513" w:rsidP="00474513">
      <w:pPr>
        <w:ind w:firstLine="720"/>
        <w:jc w:val="both"/>
      </w:pPr>
    </w:p>
    <w:p w:rsidR="00474513" w:rsidRPr="00474513" w:rsidRDefault="00474513" w:rsidP="009E52EF">
      <w:pPr>
        <w:ind w:firstLine="720"/>
        <w:jc w:val="center"/>
        <w:rPr>
          <w:b/>
        </w:rPr>
      </w:pPr>
      <w:r w:rsidRPr="00474513">
        <w:rPr>
          <w:b/>
        </w:rPr>
        <w:t>6. Nolikuma prasībām atbilstošo pretendentu piedāvājumu saraksta izveidošana</w:t>
      </w:r>
      <w:r w:rsidR="009E52EF">
        <w:rPr>
          <w:b/>
        </w:rPr>
        <w:t xml:space="preserve"> un </w:t>
      </w:r>
      <w:r w:rsidR="009E52EF" w:rsidRPr="00BF6789">
        <w:rPr>
          <w:b/>
        </w:rPr>
        <w:t>Pretendenta, kuram būtu piešķiramas līguma slēgšanas tiesības, noteikšana</w:t>
      </w:r>
    </w:p>
    <w:p w:rsidR="001A1F02" w:rsidRDefault="009E52EF" w:rsidP="001A1F02">
      <w:pPr>
        <w:ind w:firstLine="720"/>
        <w:jc w:val="both"/>
      </w:pPr>
      <w:r>
        <w:t xml:space="preserve">6.1. </w:t>
      </w:r>
      <w:r w:rsidR="001A1F02">
        <w:t>Izvērtējot nolikumā izvirzītās kvalifikācijas prasības, iepirkuma komisija uzskata, ka tās ir objektīvas un samērīgas un neierobežo potenciālo pretendentu loku, kas spēj nodrošināt tehniskajās specifikācijās norādīto pakalpojumu. Komisija norāda, ka ievērojot Publisko iepirkumu likuma 2.pantā noteiktos mērķus, pasūtītājam jebkurā iepirkuma procedūrā vienlaikus ir jānodrošina konkurence piegādātāju starpā, kā arī valsts un pašvaldības līdzekļu efektīva izmantošana un pasūtītāja riska samazināšana. Attiecīgi, lai samazinātu pasūtītāja risku un nodrošinātu konkurenci piegādātāju starpā, kā arī lai nodrošinātu kvalitatīvu pakalpojuma piegādi, prasības iespējamajiem pretendentiem ir jāizvirza, lai nodrošinātu, ka iepirkuma procedūras rezultātā līgums tiek noslēgts ar tādu pakalpojuma sniedzēju, kuram ir pietiekamas tehniskās spējas, kā arī iespējami lielākā pieredze darbinieku veselības apdrošināšanas jomā. Ņemot vērā iepriekš minēto, iepirkuma komisija secina, ka iepirkumu procedūras nolikumā noteiktās prasības ir objektīvas un samērīgas.</w:t>
      </w:r>
    </w:p>
    <w:p w:rsidR="00474513" w:rsidRDefault="001A1F02" w:rsidP="00474513">
      <w:pPr>
        <w:ind w:firstLine="720"/>
        <w:jc w:val="both"/>
      </w:pPr>
      <w:r>
        <w:t xml:space="preserve">6.2. </w:t>
      </w:r>
      <w:r w:rsidRPr="001A1F02">
        <w:t>Komisija, ņemot vērā, ka pretendent</w:t>
      </w:r>
      <w:r>
        <w:t xml:space="preserve">s </w:t>
      </w:r>
      <w:r w:rsidRPr="001A1F02">
        <w:t xml:space="preserve"> ASS “BTA </w:t>
      </w:r>
      <w:proofErr w:type="spellStart"/>
      <w:r w:rsidRPr="001A1F02">
        <w:t>Baltic</w:t>
      </w:r>
      <w:proofErr w:type="spellEnd"/>
      <w:r w:rsidRPr="001A1F02">
        <w:t xml:space="preserve"> Insurance </w:t>
      </w:r>
      <w:proofErr w:type="spellStart"/>
      <w:r w:rsidRPr="001A1F02">
        <w:t>Company</w:t>
      </w:r>
      <w:proofErr w:type="spellEnd"/>
      <w:r w:rsidRPr="001A1F02">
        <w:t>”</w:t>
      </w:r>
      <w:r>
        <w:t xml:space="preserve"> </w:t>
      </w:r>
      <w:r w:rsidRPr="001A1F02">
        <w:t xml:space="preserve"> ir vienīg</w:t>
      </w:r>
      <w:r>
        <w:t>ais</w:t>
      </w:r>
      <w:r w:rsidRPr="001A1F02">
        <w:t>, kas iesnie</w:t>
      </w:r>
      <w:r>
        <w:t>dzis</w:t>
      </w:r>
      <w:r w:rsidRPr="001A1F02">
        <w:t xml:space="preserve"> piedāvājumu un t</w:t>
      </w:r>
      <w:r w:rsidR="00917265">
        <w:t>as</w:t>
      </w:r>
      <w:r w:rsidRPr="001A1F02">
        <w:t xml:space="preserve"> atbilst visām </w:t>
      </w:r>
      <w:r w:rsidR="00917265">
        <w:t xml:space="preserve">nolikumā </w:t>
      </w:r>
      <w:r w:rsidRPr="001A1F02">
        <w:t xml:space="preserve">izvirzītajām prasībām, izveido nolikuma prasībām atbilstošo piedāvājumu sarakstu, neveicot </w:t>
      </w:r>
      <w:r w:rsidR="00917265">
        <w:t>iepirkuma procedūrā</w:t>
      </w:r>
      <w:r w:rsidRPr="001A1F02">
        <w:t xml:space="preserve"> noteikto saimnieciski visizdevīgākā piedāvājuma aprēķinu, bet norādo</w:t>
      </w:r>
      <w:r w:rsidR="00917265">
        <w:t>t piedāvājuma cenas EUR bez PVN:</w:t>
      </w:r>
    </w:p>
    <w:p w:rsidR="00917265" w:rsidRDefault="00917265" w:rsidP="00474513">
      <w:pPr>
        <w:ind w:firstLine="720"/>
        <w:jc w:val="both"/>
      </w:pPr>
    </w:p>
    <w:tbl>
      <w:tblPr>
        <w:tblpPr w:leftFromText="180" w:rightFromText="180" w:vertAnchor="text" w:tblpX="137"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544"/>
        <w:gridCol w:w="1842"/>
        <w:gridCol w:w="2949"/>
      </w:tblGrid>
      <w:tr w:rsidR="001A1F02" w:rsidRPr="00B52BA0" w:rsidTr="004B45C0">
        <w:trPr>
          <w:trHeight w:val="557"/>
        </w:trPr>
        <w:tc>
          <w:tcPr>
            <w:tcW w:w="846" w:type="dxa"/>
            <w:shd w:val="clear" w:color="auto" w:fill="auto"/>
            <w:vAlign w:val="center"/>
          </w:tcPr>
          <w:p w:rsidR="001A1F02" w:rsidRPr="00B52BA0" w:rsidRDefault="001A1F02" w:rsidP="004B45C0">
            <w:pPr>
              <w:jc w:val="center"/>
            </w:pPr>
            <w:r w:rsidRPr="00B52BA0">
              <w:t>Nr. p.k.</w:t>
            </w:r>
          </w:p>
        </w:tc>
        <w:tc>
          <w:tcPr>
            <w:tcW w:w="3544" w:type="dxa"/>
            <w:shd w:val="clear" w:color="auto" w:fill="auto"/>
            <w:vAlign w:val="center"/>
          </w:tcPr>
          <w:p w:rsidR="001A1F02" w:rsidRPr="00B52BA0" w:rsidRDefault="001A1F02" w:rsidP="004B45C0">
            <w:pPr>
              <w:jc w:val="center"/>
            </w:pPr>
            <w:r w:rsidRPr="00B52BA0">
              <w:t>Pretendents</w:t>
            </w:r>
          </w:p>
        </w:tc>
        <w:tc>
          <w:tcPr>
            <w:tcW w:w="1842" w:type="dxa"/>
            <w:shd w:val="clear" w:color="auto" w:fill="auto"/>
            <w:vAlign w:val="center"/>
          </w:tcPr>
          <w:p w:rsidR="001A1F02" w:rsidRPr="00B52BA0" w:rsidRDefault="001A1F02" w:rsidP="004B45C0">
            <w:pPr>
              <w:jc w:val="center"/>
            </w:pPr>
            <w:r>
              <w:t>Polises cena 1 darbiniekam EUR bez PVN</w:t>
            </w:r>
          </w:p>
        </w:tc>
        <w:tc>
          <w:tcPr>
            <w:tcW w:w="2949" w:type="dxa"/>
            <w:shd w:val="clear" w:color="auto" w:fill="auto"/>
            <w:vAlign w:val="center"/>
          </w:tcPr>
          <w:p w:rsidR="001A1F02" w:rsidRPr="00B52BA0" w:rsidRDefault="001A1F02" w:rsidP="004B45C0">
            <w:pPr>
              <w:jc w:val="center"/>
            </w:pPr>
            <w:r>
              <w:t>Kopējā apdrošināšanas prēmija gadā</w:t>
            </w:r>
            <w:r w:rsidRPr="00B52BA0">
              <w:t xml:space="preserve"> EUR bez PVN</w:t>
            </w:r>
          </w:p>
        </w:tc>
      </w:tr>
      <w:tr w:rsidR="001A1F02" w:rsidRPr="00B52BA0" w:rsidTr="004B45C0">
        <w:trPr>
          <w:trHeight w:val="274"/>
        </w:trPr>
        <w:tc>
          <w:tcPr>
            <w:tcW w:w="846" w:type="dxa"/>
            <w:shd w:val="clear" w:color="auto" w:fill="auto"/>
          </w:tcPr>
          <w:p w:rsidR="001A1F02" w:rsidRPr="00B52BA0" w:rsidRDefault="001A1F02" w:rsidP="001A1F02">
            <w:pPr>
              <w:numPr>
                <w:ilvl w:val="0"/>
                <w:numId w:val="9"/>
              </w:numPr>
              <w:jc w:val="center"/>
            </w:pPr>
          </w:p>
        </w:tc>
        <w:tc>
          <w:tcPr>
            <w:tcW w:w="3544" w:type="dxa"/>
            <w:shd w:val="clear" w:color="auto" w:fill="auto"/>
          </w:tcPr>
          <w:p w:rsidR="005F766A" w:rsidRDefault="005F766A" w:rsidP="004B45C0"/>
          <w:p w:rsidR="001A1F02" w:rsidRDefault="001A1F02" w:rsidP="004B45C0">
            <w:r>
              <w:t xml:space="preserve">ASS “BTA </w:t>
            </w:r>
            <w:proofErr w:type="spellStart"/>
            <w:r>
              <w:t>Baltic</w:t>
            </w:r>
            <w:proofErr w:type="spellEnd"/>
            <w:r>
              <w:t xml:space="preserve"> Insurance </w:t>
            </w:r>
            <w:proofErr w:type="spellStart"/>
            <w:r>
              <w:t>Company</w:t>
            </w:r>
            <w:proofErr w:type="spellEnd"/>
            <w:r>
              <w:t>”</w:t>
            </w:r>
          </w:p>
          <w:p w:rsidR="005F766A" w:rsidRPr="00B52BA0" w:rsidRDefault="005F766A" w:rsidP="004B45C0"/>
        </w:tc>
        <w:tc>
          <w:tcPr>
            <w:tcW w:w="1842" w:type="dxa"/>
            <w:shd w:val="clear" w:color="auto" w:fill="auto"/>
          </w:tcPr>
          <w:p w:rsidR="005F766A" w:rsidRDefault="005F766A" w:rsidP="005F766A">
            <w:pPr>
              <w:jc w:val="center"/>
            </w:pPr>
          </w:p>
          <w:p w:rsidR="001A1F02" w:rsidRPr="00B52BA0" w:rsidRDefault="005F766A" w:rsidP="005F766A">
            <w:pPr>
              <w:jc w:val="center"/>
            </w:pPr>
            <w:r>
              <w:t>114.40</w:t>
            </w:r>
          </w:p>
        </w:tc>
        <w:tc>
          <w:tcPr>
            <w:tcW w:w="2949" w:type="dxa"/>
            <w:shd w:val="clear" w:color="auto" w:fill="auto"/>
          </w:tcPr>
          <w:p w:rsidR="005F766A" w:rsidRDefault="005F766A" w:rsidP="005F766A">
            <w:pPr>
              <w:jc w:val="center"/>
            </w:pPr>
          </w:p>
          <w:p w:rsidR="001A1F02" w:rsidRPr="00B52BA0" w:rsidRDefault="001A1F02" w:rsidP="005F766A">
            <w:pPr>
              <w:jc w:val="center"/>
            </w:pPr>
            <w:r>
              <w:t>40040.00</w:t>
            </w:r>
          </w:p>
        </w:tc>
      </w:tr>
    </w:tbl>
    <w:p w:rsidR="001A1F02" w:rsidRDefault="001A1F02" w:rsidP="00BF6789">
      <w:pPr>
        <w:ind w:firstLine="720"/>
        <w:jc w:val="both"/>
      </w:pPr>
    </w:p>
    <w:p w:rsidR="00BF6789" w:rsidRDefault="009E52EF" w:rsidP="00BF6789">
      <w:pPr>
        <w:ind w:firstLine="720"/>
        <w:jc w:val="both"/>
      </w:pPr>
      <w:r>
        <w:lastRenderedPageBreak/>
        <w:t>6.</w:t>
      </w:r>
      <w:r w:rsidR="005F766A">
        <w:t>3</w:t>
      </w:r>
      <w:r>
        <w:t xml:space="preserve">. </w:t>
      </w:r>
      <w:r w:rsidR="00BF6789">
        <w:t xml:space="preserve">Komisija nolemj, ka līguma slēgšanas tiesības būtu piešķiramas pretendentam </w:t>
      </w:r>
      <w:r w:rsidR="001A1F02" w:rsidRPr="001A1F02">
        <w:t xml:space="preserve">ASS “BTA </w:t>
      </w:r>
      <w:proofErr w:type="spellStart"/>
      <w:r w:rsidR="001A1F02" w:rsidRPr="001A1F02">
        <w:t>Baltic</w:t>
      </w:r>
      <w:proofErr w:type="spellEnd"/>
      <w:r w:rsidR="001A1F02" w:rsidRPr="001A1F02">
        <w:t xml:space="preserve"> Insurance </w:t>
      </w:r>
      <w:proofErr w:type="spellStart"/>
      <w:r w:rsidR="001A1F02" w:rsidRPr="001A1F02">
        <w:t>Company</w:t>
      </w:r>
      <w:proofErr w:type="spellEnd"/>
      <w:r w:rsidR="001A1F02" w:rsidRPr="001A1F02">
        <w:t>”</w:t>
      </w:r>
      <w:r w:rsidR="001A1F02">
        <w:t>.</w:t>
      </w:r>
    </w:p>
    <w:p w:rsidR="00474513" w:rsidRDefault="00474513" w:rsidP="00474513">
      <w:pPr>
        <w:ind w:firstLine="720"/>
        <w:jc w:val="both"/>
      </w:pPr>
    </w:p>
    <w:p w:rsidR="009E52EF" w:rsidRPr="009E52EF" w:rsidRDefault="009E52EF" w:rsidP="009E52EF">
      <w:pPr>
        <w:ind w:firstLine="720"/>
        <w:jc w:val="center"/>
        <w:rPr>
          <w:b/>
        </w:rPr>
      </w:pPr>
      <w:r>
        <w:rPr>
          <w:b/>
        </w:rPr>
        <w:t>7</w:t>
      </w:r>
      <w:r w:rsidRPr="009E52EF">
        <w:rPr>
          <w:b/>
        </w:rPr>
        <w:t>. Izslēgšanas nosacījumu pārbaude par pretendentu, kuram būtu piešķiramas līguma slēgšanas tiesības</w:t>
      </w:r>
    </w:p>
    <w:p w:rsidR="009E52EF" w:rsidRDefault="009E52EF" w:rsidP="009E52EF">
      <w:pPr>
        <w:ind w:firstLine="720"/>
        <w:jc w:val="both"/>
      </w:pPr>
      <w:r>
        <w:t>Komisija, veicot iepirkuma nolikuma 7.1. punktā minēto izslēgšanas nosacījumu pārbaudi par pretendentu, kur</w:t>
      </w:r>
      <w:r w:rsidR="00247DFC">
        <w:t>a</w:t>
      </w:r>
      <w:r>
        <w:t xml:space="preserve">m būtu piešķiramas līguma slēgšanas tiesības, ieguva šādu informāciju:  </w:t>
      </w:r>
    </w:p>
    <w:p w:rsidR="009E52EF" w:rsidRPr="005F766A" w:rsidRDefault="009E52EF" w:rsidP="009E52EF">
      <w:pPr>
        <w:ind w:firstLine="720"/>
        <w:jc w:val="both"/>
      </w:pPr>
      <w:r>
        <w:t xml:space="preserve">7.1.  par izslēgšanas nosacījumiem attiecībā uz likvidācijas, maksātnespējas un saimnieciskās darbības apturēšanas procesiem Uzņēmumu reģistrā nav aktuālo datu  par pārbaudāmo pretendentu </w:t>
      </w:r>
      <w:r w:rsidR="00917265" w:rsidRPr="00917265">
        <w:t xml:space="preserve">ASS “BTA </w:t>
      </w:r>
      <w:proofErr w:type="spellStart"/>
      <w:r w:rsidR="00917265" w:rsidRPr="00917265">
        <w:t>Baltic</w:t>
      </w:r>
      <w:proofErr w:type="spellEnd"/>
      <w:r w:rsidR="00917265" w:rsidRPr="00917265">
        <w:t xml:space="preserve"> Insurance </w:t>
      </w:r>
      <w:proofErr w:type="spellStart"/>
      <w:r w:rsidR="00917265" w:rsidRPr="00917265">
        <w:t>Company</w:t>
      </w:r>
      <w:proofErr w:type="spellEnd"/>
      <w:r w:rsidR="00917265" w:rsidRPr="00917265">
        <w:t>”</w:t>
      </w:r>
      <w:r w:rsidR="00917265">
        <w:t xml:space="preserve"> </w:t>
      </w:r>
      <w:r>
        <w:t xml:space="preserve">maksātnespējas (t.sk. bankrota) procesiem, likvidācijas procesu, apturētu vai pārtrauktu saimniecisko </w:t>
      </w:r>
      <w:r w:rsidRPr="005F766A">
        <w:t>darbību (</w:t>
      </w:r>
      <w:r w:rsidR="005F766A" w:rsidRPr="005F766A">
        <w:t>1</w:t>
      </w:r>
      <w:r w:rsidR="005F766A">
        <w:t>5</w:t>
      </w:r>
      <w:r w:rsidRPr="005F766A">
        <w:t>.0</w:t>
      </w:r>
      <w:r w:rsidR="005F766A" w:rsidRPr="005F766A">
        <w:t>2</w:t>
      </w:r>
      <w:r w:rsidRPr="005F766A">
        <w:t xml:space="preserve">.2018. E-IZZIŅA sērija URA Nr. </w:t>
      </w:r>
      <w:r w:rsidR="005F766A" w:rsidRPr="005F766A">
        <w:t>31183653-8115039</w:t>
      </w:r>
      <w:r w:rsidRPr="005F766A">
        <w:t>);</w:t>
      </w:r>
    </w:p>
    <w:p w:rsidR="009E52EF" w:rsidRDefault="009E52EF" w:rsidP="009E52EF">
      <w:pPr>
        <w:ind w:firstLine="720"/>
        <w:jc w:val="both"/>
      </w:pPr>
      <w:r w:rsidRPr="005F766A">
        <w:t>7.2. par PIL 9. panta astotās daļas 2. apakšpunktā minētajiem izslēgšanas nosacījumiem attiecībā uz nodokļu nomaksas statusu no Ministru kabineta noteiktās informācijas sistēmas saņemta E-IZZIŅA par nodokļu nomaksas statusu, no kur</w:t>
      </w:r>
      <w:r w:rsidR="00247DFC">
        <w:t>as</w:t>
      </w:r>
      <w:r w:rsidRPr="005F766A">
        <w:t xml:space="preserve"> secināms, ka pretendent</w:t>
      </w:r>
      <w:r w:rsidR="00247DFC">
        <w:t>a</w:t>
      </w:r>
      <w:r w:rsidRPr="005F766A">
        <w:t xml:space="preserve">m </w:t>
      </w:r>
      <w:r w:rsidR="00917265" w:rsidRPr="005F766A">
        <w:t xml:space="preserve">ASS “BTA </w:t>
      </w:r>
      <w:proofErr w:type="spellStart"/>
      <w:r w:rsidR="00917265" w:rsidRPr="005F766A">
        <w:t>Baltic</w:t>
      </w:r>
      <w:proofErr w:type="spellEnd"/>
      <w:r w:rsidR="00917265" w:rsidRPr="005F766A">
        <w:t xml:space="preserve"> Insurance </w:t>
      </w:r>
      <w:proofErr w:type="spellStart"/>
      <w:r w:rsidR="00917265" w:rsidRPr="005F766A">
        <w:t>Company</w:t>
      </w:r>
      <w:proofErr w:type="spellEnd"/>
      <w:r w:rsidR="00917265" w:rsidRPr="005F766A">
        <w:t>”</w:t>
      </w:r>
      <w:r w:rsidRPr="005F766A">
        <w:t xml:space="preserve"> Latvijā nav nodokļu parādu (</w:t>
      </w:r>
      <w:r w:rsidR="005F766A" w:rsidRPr="005F766A">
        <w:t>1</w:t>
      </w:r>
      <w:r w:rsidR="005F766A">
        <w:t>5</w:t>
      </w:r>
      <w:r w:rsidR="005F766A" w:rsidRPr="005F766A">
        <w:t>.02</w:t>
      </w:r>
      <w:r w:rsidRPr="005F766A">
        <w:t xml:space="preserve">.2018. E-IZZIŅA sērija </w:t>
      </w:r>
      <w:r w:rsidR="00917265" w:rsidRPr="005F766A">
        <w:t>NO Nr. 31183653-8115051</w:t>
      </w:r>
      <w:r w:rsidRPr="005F766A">
        <w:t>).</w:t>
      </w:r>
    </w:p>
    <w:p w:rsidR="009E52EF" w:rsidRDefault="009E52EF" w:rsidP="009E52EF">
      <w:pPr>
        <w:ind w:firstLine="720"/>
        <w:jc w:val="both"/>
      </w:pPr>
    </w:p>
    <w:p w:rsidR="009E52EF" w:rsidRPr="002C25E5" w:rsidRDefault="002C25E5" w:rsidP="002C25E5">
      <w:pPr>
        <w:ind w:firstLine="720"/>
        <w:jc w:val="center"/>
        <w:rPr>
          <w:b/>
        </w:rPr>
      </w:pPr>
      <w:r w:rsidRPr="002C25E5">
        <w:rPr>
          <w:b/>
        </w:rPr>
        <w:t>8. Lēmuma pieņemšana par iepirkuma līguma slēgšanas tiesībām</w:t>
      </w:r>
    </w:p>
    <w:p w:rsidR="009E52EF" w:rsidRDefault="009E52EF" w:rsidP="00884591">
      <w:pPr>
        <w:ind w:firstLine="720"/>
        <w:jc w:val="both"/>
      </w:pPr>
      <w:r>
        <w:t>Iepirkumu komisija</w:t>
      </w:r>
      <w:r w:rsidR="002C25E5">
        <w:t>, atklāti balsojot</w:t>
      </w:r>
      <w:r w:rsidR="002C25E5" w:rsidRPr="002C25E5">
        <w:t>, PAR- 6 (</w:t>
      </w:r>
      <w:proofErr w:type="spellStart"/>
      <w:r w:rsidR="002C25E5" w:rsidRPr="002C25E5">
        <w:t>D.Svētiņa</w:t>
      </w:r>
      <w:proofErr w:type="spellEnd"/>
      <w:r w:rsidR="002C25E5" w:rsidRPr="002C25E5">
        <w:t xml:space="preserve">, </w:t>
      </w:r>
      <w:proofErr w:type="spellStart"/>
      <w:r w:rsidR="002C25E5" w:rsidRPr="002C25E5">
        <w:t>G.Majore</w:t>
      </w:r>
      <w:proofErr w:type="spellEnd"/>
      <w:r w:rsidR="002C25E5" w:rsidRPr="002C25E5">
        <w:t xml:space="preserve">, </w:t>
      </w:r>
      <w:proofErr w:type="spellStart"/>
      <w:r w:rsidR="002C25E5" w:rsidRPr="002C25E5">
        <w:t>D.Kļaviņa</w:t>
      </w:r>
      <w:proofErr w:type="spellEnd"/>
      <w:r w:rsidR="002C25E5" w:rsidRPr="002C25E5">
        <w:t xml:space="preserve">, </w:t>
      </w:r>
      <w:proofErr w:type="spellStart"/>
      <w:r w:rsidR="002C25E5" w:rsidRPr="002C25E5">
        <w:t>A.Pastars</w:t>
      </w:r>
      <w:proofErr w:type="spellEnd"/>
      <w:r w:rsidR="002C25E5" w:rsidRPr="002C25E5">
        <w:t xml:space="preserve">, </w:t>
      </w:r>
      <w:proofErr w:type="spellStart"/>
      <w:r w:rsidR="002C25E5" w:rsidRPr="002C25E5">
        <w:t>I.Pabērza</w:t>
      </w:r>
      <w:proofErr w:type="spellEnd"/>
      <w:r w:rsidR="002C25E5" w:rsidRPr="002C25E5">
        <w:t xml:space="preserve">) balsis, PRET- (nav) balsis, nolemj: </w:t>
      </w:r>
      <w:r>
        <w:t xml:space="preserve"> </w:t>
      </w:r>
    </w:p>
    <w:p w:rsidR="009E52EF" w:rsidRDefault="002C25E5" w:rsidP="009E52EF">
      <w:pPr>
        <w:ind w:firstLine="720"/>
        <w:jc w:val="both"/>
      </w:pPr>
      <w:r>
        <w:t xml:space="preserve">8.1. </w:t>
      </w:r>
      <w:r w:rsidR="009E52EF">
        <w:t xml:space="preserve">Pamatojoties uz Publisko iepirkumu likuma  (PIL) 9. panta trīspadsmito daļu un iepirkuma nolikuma </w:t>
      </w:r>
      <w:r>
        <w:t>11</w:t>
      </w:r>
      <w:r w:rsidR="00884591">
        <w:t>.</w:t>
      </w:r>
      <w:r>
        <w:t xml:space="preserve"> punktu </w:t>
      </w:r>
      <w:r w:rsidR="00884591">
        <w:t xml:space="preserve">slēgt iepirkuma līgumu ar </w:t>
      </w:r>
      <w:r w:rsidR="00917265" w:rsidRPr="00917265">
        <w:rPr>
          <w:b/>
        </w:rPr>
        <w:t xml:space="preserve">ASS “BTA </w:t>
      </w:r>
      <w:proofErr w:type="spellStart"/>
      <w:r w:rsidR="00917265" w:rsidRPr="00917265">
        <w:rPr>
          <w:b/>
        </w:rPr>
        <w:t>Baltic</w:t>
      </w:r>
      <w:proofErr w:type="spellEnd"/>
      <w:r w:rsidR="00917265" w:rsidRPr="00917265">
        <w:rPr>
          <w:b/>
        </w:rPr>
        <w:t xml:space="preserve"> Insurance </w:t>
      </w:r>
      <w:proofErr w:type="spellStart"/>
      <w:r w:rsidR="00917265" w:rsidRPr="00917265">
        <w:rPr>
          <w:b/>
        </w:rPr>
        <w:t>Company</w:t>
      </w:r>
      <w:proofErr w:type="spellEnd"/>
      <w:r w:rsidR="00917265" w:rsidRPr="00917265">
        <w:rPr>
          <w:b/>
        </w:rPr>
        <w:t>”</w:t>
      </w:r>
      <w:r w:rsidR="00884591">
        <w:t xml:space="preserve">, par kopējo līgumcenu </w:t>
      </w:r>
      <w:r w:rsidR="00917265" w:rsidRPr="005F766A">
        <w:rPr>
          <w:b/>
        </w:rPr>
        <w:t>40</w:t>
      </w:r>
      <w:bookmarkStart w:id="0" w:name="_GoBack"/>
      <w:bookmarkEnd w:id="0"/>
      <w:r w:rsidR="00917265" w:rsidRPr="005F766A">
        <w:rPr>
          <w:b/>
        </w:rPr>
        <w:t>040.00</w:t>
      </w:r>
      <w:r w:rsidR="00884591" w:rsidRPr="005F766A">
        <w:rPr>
          <w:b/>
        </w:rPr>
        <w:t xml:space="preserve"> EUR</w:t>
      </w:r>
      <w:r w:rsidR="00884591">
        <w:t xml:space="preserve"> bez PVN.</w:t>
      </w:r>
    </w:p>
    <w:p w:rsidR="002C25E5" w:rsidRDefault="002C25E5" w:rsidP="002C25E5">
      <w:pPr>
        <w:ind w:firstLine="720"/>
        <w:jc w:val="both"/>
      </w:pPr>
      <w:r>
        <w:t>8.2. triju darbdienu laikā pēc komisijas lēmuma pieņemšanas informēt pretendentus  par iepirkuma rezultātu, kā arī Kokneses novada domes  mājas lapā internetā nodrošināt brīvu un tiešu elektronisku pieeju minētajam komisijas lēmumam;</w:t>
      </w:r>
    </w:p>
    <w:p w:rsidR="002C25E5" w:rsidRDefault="002C25E5" w:rsidP="002C25E5">
      <w:pPr>
        <w:ind w:firstLine="720"/>
        <w:jc w:val="both"/>
      </w:pPr>
      <w:r>
        <w:t>8.3. pretendents, kurš iesniedzis piedāvājumu iepirkumā, uz ko attiecas Publisko iepirkumu likuma 9. panta noteikumi, un kurš uzskata, ka ir aizskartas tā tiesības vai ir iespējams šo tiesību aizskārums, ir tiesīgs pārsūdzēt pieņemto lēmum</w:t>
      </w:r>
      <w:r w:rsidR="00884591">
        <w:t xml:space="preserve">u Administratīvajā rajona tiesā, </w:t>
      </w:r>
      <w:r>
        <w:t>Administratīvā procesa likumā noteiktajā kārtībā mēneša laikā no lēmuma saņemšanas dienas.</w:t>
      </w:r>
    </w:p>
    <w:p w:rsidR="009E52EF" w:rsidRDefault="009E52EF" w:rsidP="00474513">
      <w:pPr>
        <w:ind w:firstLine="720"/>
        <w:jc w:val="both"/>
      </w:pPr>
    </w:p>
    <w:p w:rsidR="00091697" w:rsidRPr="00B52BA0" w:rsidRDefault="00091697" w:rsidP="00F845C3">
      <w:pPr>
        <w:jc w:val="both"/>
      </w:pPr>
    </w:p>
    <w:p w:rsidR="00091697" w:rsidRPr="00B52BA0" w:rsidRDefault="00091697" w:rsidP="00F845C3">
      <w:pPr>
        <w:jc w:val="both"/>
      </w:pPr>
    </w:p>
    <w:p w:rsidR="00F76752" w:rsidRPr="00B52BA0" w:rsidRDefault="00B74508" w:rsidP="00F845C3">
      <w:pPr>
        <w:jc w:val="both"/>
      </w:pPr>
      <w:r>
        <w:t>Sēdes beigu laiks: 16.20</w:t>
      </w:r>
    </w:p>
    <w:p w:rsidR="00F76752" w:rsidRPr="00B52BA0" w:rsidRDefault="00F76752" w:rsidP="00F76752">
      <w:pPr>
        <w:rPr>
          <w:sz w:val="18"/>
          <w:szCs w:val="18"/>
        </w:rPr>
      </w:pPr>
    </w:p>
    <w:p w:rsidR="00091697" w:rsidRPr="00B52BA0" w:rsidRDefault="00091697" w:rsidP="00F76752">
      <w:pPr>
        <w:rPr>
          <w:sz w:val="18"/>
          <w:szCs w:val="18"/>
        </w:rPr>
      </w:pPr>
    </w:p>
    <w:p w:rsidR="00091697" w:rsidRPr="00B52BA0" w:rsidRDefault="00091697" w:rsidP="00F76752">
      <w:pPr>
        <w:rPr>
          <w:sz w:val="18"/>
          <w:szCs w:val="18"/>
        </w:rPr>
      </w:pPr>
    </w:p>
    <w:tbl>
      <w:tblPr>
        <w:tblW w:w="9356" w:type="dxa"/>
        <w:tblInd w:w="108"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3261"/>
        <w:gridCol w:w="4252"/>
        <w:gridCol w:w="1843"/>
      </w:tblGrid>
      <w:tr w:rsidR="00F76752" w:rsidRPr="00B52BA0" w:rsidTr="00091697">
        <w:trPr>
          <w:trHeight w:val="851"/>
        </w:trPr>
        <w:tc>
          <w:tcPr>
            <w:tcW w:w="3261" w:type="dxa"/>
            <w:shd w:val="clear" w:color="auto" w:fill="auto"/>
          </w:tcPr>
          <w:p w:rsidR="00F76752" w:rsidRPr="00B52BA0" w:rsidRDefault="00F76752" w:rsidP="00F82CB5">
            <w:pPr>
              <w:rPr>
                <w:rFonts w:eastAsia="Calibri"/>
              </w:rPr>
            </w:pPr>
            <w:r w:rsidRPr="00B52BA0">
              <w:rPr>
                <w:rFonts w:eastAsia="Calibri"/>
              </w:rPr>
              <w:t>Komisijas priekšsēdētāja:</w:t>
            </w:r>
          </w:p>
        </w:tc>
        <w:tc>
          <w:tcPr>
            <w:tcW w:w="4252" w:type="dxa"/>
            <w:shd w:val="clear" w:color="auto" w:fill="auto"/>
          </w:tcPr>
          <w:p w:rsidR="00F76752" w:rsidRPr="00B52BA0" w:rsidRDefault="00F76752" w:rsidP="00F82CB5">
            <w:pPr>
              <w:rPr>
                <w:rFonts w:eastAsia="Calibri"/>
              </w:rPr>
            </w:pPr>
          </w:p>
        </w:tc>
        <w:tc>
          <w:tcPr>
            <w:tcW w:w="1843" w:type="dxa"/>
            <w:shd w:val="clear" w:color="auto" w:fill="auto"/>
          </w:tcPr>
          <w:p w:rsidR="00F76752" w:rsidRPr="00B52BA0" w:rsidRDefault="00F76752" w:rsidP="00F82CB5">
            <w:pPr>
              <w:rPr>
                <w:rFonts w:eastAsia="Calibri"/>
              </w:rPr>
            </w:pPr>
            <w:r w:rsidRPr="00B52BA0">
              <w:rPr>
                <w:rFonts w:eastAsia="Calibri"/>
              </w:rPr>
              <w:t>Dace Svētiņa</w:t>
            </w:r>
          </w:p>
          <w:p w:rsidR="00F76752" w:rsidRPr="00B52BA0" w:rsidRDefault="00F76752" w:rsidP="00F82CB5">
            <w:pPr>
              <w:rPr>
                <w:rFonts w:eastAsia="Calibri"/>
                <w:highlight w:val="red"/>
              </w:rPr>
            </w:pPr>
          </w:p>
        </w:tc>
      </w:tr>
      <w:tr w:rsidR="00F76752" w:rsidRPr="00B52BA0" w:rsidTr="00091697">
        <w:trPr>
          <w:trHeight w:val="846"/>
        </w:trPr>
        <w:tc>
          <w:tcPr>
            <w:tcW w:w="3261" w:type="dxa"/>
            <w:shd w:val="clear" w:color="auto" w:fill="auto"/>
          </w:tcPr>
          <w:p w:rsidR="00F76752" w:rsidRPr="00B52BA0" w:rsidRDefault="00F76752" w:rsidP="00F82CB5">
            <w:pPr>
              <w:rPr>
                <w:rFonts w:eastAsia="Calibri"/>
              </w:rPr>
            </w:pPr>
            <w:r w:rsidRPr="00B52BA0">
              <w:rPr>
                <w:rFonts w:eastAsia="Calibri"/>
              </w:rPr>
              <w:t>Komisijas locekļi:</w:t>
            </w:r>
          </w:p>
        </w:tc>
        <w:tc>
          <w:tcPr>
            <w:tcW w:w="4252" w:type="dxa"/>
            <w:shd w:val="clear" w:color="auto" w:fill="auto"/>
          </w:tcPr>
          <w:p w:rsidR="00F76752" w:rsidRPr="00B52BA0" w:rsidRDefault="00F76752" w:rsidP="00F82CB5">
            <w:pPr>
              <w:jc w:val="center"/>
              <w:rPr>
                <w:rFonts w:eastAsia="Calibri"/>
              </w:rPr>
            </w:pPr>
          </w:p>
        </w:tc>
        <w:tc>
          <w:tcPr>
            <w:tcW w:w="1843" w:type="dxa"/>
            <w:shd w:val="clear" w:color="auto" w:fill="auto"/>
          </w:tcPr>
          <w:p w:rsidR="00F76752" w:rsidRPr="00B52BA0" w:rsidRDefault="00F76752" w:rsidP="00F82CB5">
            <w:pPr>
              <w:rPr>
                <w:rFonts w:eastAsia="Calibri"/>
              </w:rPr>
            </w:pPr>
            <w:r w:rsidRPr="00B52BA0">
              <w:rPr>
                <w:rFonts w:eastAsia="Calibri"/>
              </w:rPr>
              <w:t>Dace Kļaviņa</w:t>
            </w:r>
          </w:p>
        </w:tc>
      </w:tr>
      <w:tr w:rsidR="00D54FD6" w:rsidRPr="00B52BA0" w:rsidTr="00091697">
        <w:trPr>
          <w:trHeight w:val="844"/>
        </w:trPr>
        <w:tc>
          <w:tcPr>
            <w:tcW w:w="3261" w:type="dxa"/>
            <w:shd w:val="clear" w:color="auto" w:fill="auto"/>
          </w:tcPr>
          <w:p w:rsidR="00D54FD6" w:rsidRPr="00B52BA0" w:rsidRDefault="00D54FD6" w:rsidP="00F82CB5">
            <w:pPr>
              <w:rPr>
                <w:rFonts w:ascii="Calibri" w:eastAsia="Calibri" w:hAnsi="Calibri"/>
                <w:sz w:val="22"/>
                <w:szCs w:val="22"/>
              </w:rPr>
            </w:pPr>
          </w:p>
        </w:tc>
        <w:tc>
          <w:tcPr>
            <w:tcW w:w="4252" w:type="dxa"/>
            <w:shd w:val="clear" w:color="auto" w:fill="auto"/>
          </w:tcPr>
          <w:p w:rsidR="00D54FD6" w:rsidRPr="00B52BA0" w:rsidRDefault="00D54FD6" w:rsidP="00F82CB5">
            <w:pPr>
              <w:jc w:val="center"/>
              <w:rPr>
                <w:rFonts w:ascii="Calibri" w:eastAsia="Calibri" w:hAnsi="Calibri"/>
                <w:sz w:val="22"/>
                <w:szCs w:val="22"/>
              </w:rPr>
            </w:pPr>
          </w:p>
        </w:tc>
        <w:tc>
          <w:tcPr>
            <w:tcW w:w="1843" w:type="dxa"/>
            <w:shd w:val="clear" w:color="auto" w:fill="auto"/>
          </w:tcPr>
          <w:p w:rsidR="00D54FD6" w:rsidRPr="00B52BA0" w:rsidRDefault="00D54FD6" w:rsidP="00F82CB5">
            <w:pPr>
              <w:rPr>
                <w:rFonts w:eastAsia="Calibri"/>
              </w:rPr>
            </w:pPr>
            <w:r w:rsidRPr="00B52BA0">
              <w:rPr>
                <w:rFonts w:eastAsia="Calibri"/>
              </w:rPr>
              <w:t>Ilze Pabērza</w:t>
            </w:r>
          </w:p>
        </w:tc>
      </w:tr>
      <w:tr w:rsidR="00D54FD6" w:rsidRPr="00B52BA0" w:rsidTr="00091697">
        <w:trPr>
          <w:trHeight w:val="830"/>
        </w:trPr>
        <w:tc>
          <w:tcPr>
            <w:tcW w:w="3261" w:type="dxa"/>
            <w:shd w:val="clear" w:color="auto" w:fill="auto"/>
          </w:tcPr>
          <w:p w:rsidR="00D54FD6" w:rsidRPr="00B52BA0" w:rsidRDefault="00D54FD6" w:rsidP="00F82CB5">
            <w:pPr>
              <w:rPr>
                <w:rFonts w:ascii="Calibri" w:eastAsia="Calibri" w:hAnsi="Calibri"/>
                <w:sz w:val="22"/>
                <w:szCs w:val="22"/>
              </w:rPr>
            </w:pPr>
          </w:p>
        </w:tc>
        <w:tc>
          <w:tcPr>
            <w:tcW w:w="4252" w:type="dxa"/>
            <w:shd w:val="clear" w:color="auto" w:fill="auto"/>
          </w:tcPr>
          <w:p w:rsidR="00D54FD6" w:rsidRPr="00B52BA0" w:rsidRDefault="00D54FD6" w:rsidP="00F82CB5">
            <w:pPr>
              <w:jc w:val="center"/>
              <w:rPr>
                <w:rFonts w:ascii="Calibri" w:eastAsia="Calibri" w:hAnsi="Calibri"/>
                <w:sz w:val="22"/>
                <w:szCs w:val="22"/>
              </w:rPr>
            </w:pPr>
          </w:p>
        </w:tc>
        <w:tc>
          <w:tcPr>
            <w:tcW w:w="1843" w:type="dxa"/>
            <w:shd w:val="clear" w:color="auto" w:fill="auto"/>
          </w:tcPr>
          <w:p w:rsidR="00D54FD6" w:rsidRPr="00B52BA0" w:rsidRDefault="00D54FD6" w:rsidP="00F82CB5">
            <w:pPr>
              <w:rPr>
                <w:rFonts w:eastAsia="Calibri"/>
              </w:rPr>
            </w:pPr>
            <w:r w:rsidRPr="00B52BA0">
              <w:rPr>
                <w:rFonts w:eastAsia="Calibri"/>
              </w:rPr>
              <w:t>Andrejs Pastars</w:t>
            </w:r>
          </w:p>
        </w:tc>
      </w:tr>
      <w:tr w:rsidR="00F76752" w:rsidRPr="00B52BA0" w:rsidTr="00091697">
        <w:trPr>
          <w:trHeight w:val="827"/>
        </w:trPr>
        <w:tc>
          <w:tcPr>
            <w:tcW w:w="3261" w:type="dxa"/>
            <w:shd w:val="clear" w:color="auto" w:fill="auto"/>
          </w:tcPr>
          <w:p w:rsidR="00F76752" w:rsidRPr="00B52BA0" w:rsidRDefault="00F76752" w:rsidP="00F82CB5">
            <w:pPr>
              <w:rPr>
                <w:rFonts w:eastAsia="Calibri"/>
              </w:rPr>
            </w:pPr>
            <w:r w:rsidRPr="00B52BA0">
              <w:rPr>
                <w:rFonts w:eastAsia="Calibri"/>
              </w:rPr>
              <w:t>Komisijas locekle, sekretāre:</w:t>
            </w:r>
          </w:p>
        </w:tc>
        <w:tc>
          <w:tcPr>
            <w:tcW w:w="4252" w:type="dxa"/>
            <w:shd w:val="clear" w:color="auto" w:fill="auto"/>
          </w:tcPr>
          <w:p w:rsidR="00F76752" w:rsidRPr="00B52BA0" w:rsidRDefault="00F76752" w:rsidP="00F82CB5">
            <w:pPr>
              <w:jc w:val="center"/>
              <w:rPr>
                <w:rFonts w:eastAsia="Calibri"/>
              </w:rPr>
            </w:pPr>
          </w:p>
        </w:tc>
        <w:tc>
          <w:tcPr>
            <w:tcW w:w="1843" w:type="dxa"/>
            <w:shd w:val="clear" w:color="auto" w:fill="auto"/>
          </w:tcPr>
          <w:p w:rsidR="00F76752" w:rsidRPr="00B52BA0" w:rsidRDefault="00F76752" w:rsidP="00F82CB5">
            <w:pPr>
              <w:rPr>
                <w:rFonts w:eastAsia="Calibri"/>
              </w:rPr>
            </w:pPr>
            <w:r w:rsidRPr="00B52BA0">
              <w:rPr>
                <w:rFonts w:eastAsia="Calibri"/>
              </w:rPr>
              <w:t>Gunita Majore</w:t>
            </w:r>
          </w:p>
        </w:tc>
      </w:tr>
    </w:tbl>
    <w:p w:rsidR="00F76752" w:rsidRPr="0045013C" w:rsidRDefault="00F76752" w:rsidP="00F76752">
      <w:pPr>
        <w:rPr>
          <w:sz w:val="16"/>
          <w:szCs w:val="16"/>
        </w:rPr>
      </w:pPr>
    </w:p>
    <w:sectPr w:rsidR="00F76752" w:rsidRPr="0045013C" w:rsidSect="00091697">
      <w:footerReference w:type="default" r:id="rId10"/>
      <w:pgSz w:w="11906" w:h="16838"/>
      <w:pgMar w:top="709" w:right="707" w:bottom="142" w:left="1560" w:header="709"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373" w:rsidRDefault="00DF7373" w:rsidP="00615BE3">
      <w:r>
        <w:separator/>
      </w:r>
    </w:p>
  </w:endnote>
  <w:endnote w:type="continuationSeparator" w:id="0">
    <w:p w:rsidR="00DF7373" w:rsidRDefault="00DF7373" w:rsidP="0061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5B" w:rsidRDefault="00A17D5B" w:rsidP="00131E28">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B534F">
      <w:rPr>
        <w:caps/>
        <w:noProof/>
        <w:color w:val="5B9BD5" w:themeColor="accent1"/>
      </w:rPr>
      <w:t>3</w:t>
    </w:r>
    <w:r>
      <w:rPr>
        <w:caps/>
        <w:color w:val="5B9BD5" w:themeColor="accent1"/>
      </w:rPr>
      <w:fldChar w:fldCharType="end"/>
    </w:r>
  </w:p>
  <w:p w:rsidR="00615BE3" w:rsidRDefault="00615BE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373" w:rsidRDefault="00DF7373" w:rsidP="00615BE3">
      <w:r>
        <w:separator/>
      </w:r>
    </w:p>
  </w:footnote>
  <w:footnote w:type="continuationSeparator" w:id="0">
    <w:p w:rsidR="00DF7373" w:rsidRDefault="00DF7373" w:rsidP="00615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79"/>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E334610"/>
    <w:multiLevelType w:val="hybridMultilevel"/>
    <w:tmpl w:val="960E00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5E74DAE"/>
    <w:multiLevelType w:val="hybridMultilevel"/>
    <w:tmpl w:val="B57A9482"/>
    <w:lvl w:ilvl="0" w:tplc="23A0F9BE">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8F63A81"/>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5A8F6302"/>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6B93239E"/>
    <w:multiLevelType w:val="multilevel"/>
    <w:tmpl w:val="192CF3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7AB2F22"/>
    <w:multiLevelType w:val="multilevel"/>
    <w:tmpl w:val="B89CCED4"/>
    <w:lvl w:ilvl="0">
      <w:start w:val="1"/>
      <w:numFmt w:val="decimal"/>
      <w:lvlText w:val="%1."/>
      <w:lvlJc w:val="left"/>
      <w:pPr>
        <w:ind w:left="1080" w:hanging="360"/>
      </w:pPr>
      <w:rPr>
        <w:rFonts w:hint="default"/>
      </w:rPr>
    </w:lvl>
    <w:lvl w:ilvl="1">
      <w:start w:val="2"/>
      <w:numFmt w:val="decimal"/>
      <w:isLgl/>
      <w:lvlText w:val="%1.%2."/>
      <w:lvlJc w:val="left"/>
      <w:pPr>
        <w:ind w:left="16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7CCB5B8E"/>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93"/>
    <w:rsid w:val="00015CEE"/>
    <w:rsid w:val="00030875"/>
    <w:rsid w:val="000360CD"/>
    <w:rsid w:val="00061825"/>
    <w:rsid w:val="000848E2"/>
    <w:rsid w:val="00086EEE"/>
    <w:rsid w:val="00091697"/>
    <w:rsid w:val="000926AA"/>
    <w:rsid w:val="000A0BAB"/>
    <w:rsid w:val="000C71EE"/>
    <w:rsid w:val="000E2A3E"/>
    <w:rsid w:val="000E33C1"/>
    <w:rsid w:val="00101FB1"/>
    <w:rsid w:val="00104CF5"/>
    <w:rsid w:val="001132EE"/>
    <w:rsid w:val="00131E28"/>
    <w:rsid w:val="001413C5"/>
    <w:rsid w:val="00151690"/>
    <w:rsid w:val="00161EEC"/>
    <w:rsid w:val="0016402E"/>
    <w:rsid w:val="00187E4C"/>
    <w:rsid w:val="001A1F02"/>
    <w:rsid w:val="001E534B"/>
    <w:rsid w:val="00200BEF"/>
    <w:rsid w:val="00205EB1"/>
    <w:rsid w:val="00220D07"/>
    <w:rsid w:val="00241179"/>
    <w:rsid w:val="002449A1"/>
    <w:rsid w:val="00247DFC"/>
    <w:rsid w:val="00261868"/>
    <w:rsid w:val="00261874"/>
    <w:rsid w:val="002A4696"/>
    <w:rsid w:val="002B194E"/>
    <w:rsid w:val="002C25E5"/>
    <w:rsid w:val="002C61FF"/>
    <w:rsid w:val="002C75AE"/>
    <w:rsid w:val="002D5756"/>
    <w:rsid w:val="002E05A9"/>
    <w:rsid w:val="002F5F2D"/>
    <w:rsid w:val="00305379"/>
    <w:rsid w:val="00336D33"/>
    <w:rsid w:val="00344AEF"/>
    <w:rsid w:val="00356D53"/>
    <w:rsid w:val="003864B0"/>
    <w:rsid w:val="00391479"/>
    <w:rsid w:val="003A55BD"/>
    <w:rsid w:val="003B4698"/>
    <w:rsid w:val="003E061E"/>
    <w:rsid w:val="003E550E"/>
    <w:rsid w:val="003F4D3C"/>
    <w:rsid w:val="003F7932"/>
    <w:rsid w:val="00411134"/>
    <w:rsid w:val="004147AF"/>
    <w:rsid w:val="00415C3A"/>
    <w:rsid w:val="00435169"/>
    <w:rsid w:val="00450C2A"/>
    <w:rsid w:val="00455126"/>
    <w:rsid w:val="00456B0B"/>
    <w:rsid w:val="00474513"/>
    <w:rsid w:val="0048200A"/>
    <w:rsid w:val="004A38A7"/>
    <w:rsid w:val="004B534F"/>
    <w:rsid w:val="004C1BEE"/>
    <w:rsid w:val="004F070C"/>
    <w:rsid w:val="0050246A"/>
    <w:rsid w:val="00530041"/>
    <w:rsid w:val="00551A2A"/>
    <w:rsid w:val="00562D9B"/>
    <w:rsid w:val="00571DC8"/>
    <w:rsid w:val="00592B38"/>
    <w:rsid w:val="005957C4"/>
    <w:rsid w:val="005E26E7"/>
    <w:rsid w:val="005E5B68"/>
    <w:rsid w:val="005F5C6B"/>
    <w:rsid w:val="005F766A"/>
    <w:rsid w:val="006039B5"/>
    <w:rsid w:val="00615BE3"/>
    <w:rsid w:val="00624502"/>
    <w:rsid w:val="00643F9F"/>
    <w:rsid w:val="00653F2A"/>
    <w:rsid w:val="00667862"/>
    <w:rsid w:val="00683B2E"/>
    <w:rsid w:val="006A09B8"/>
    <w:rsid w:val="006F6DB0"/>
    <w:rsid w:val="007023CF"/>
    <w:rsid w:val="007234A6"/>
    <w:rsid w:val="0075697D"/>
    <w:rsid w:val="0076497A"/>
    <w:rsid w:val="007658DE"/>
    <w:rsid w:val="0076637C"/>
    <w:rsid w:val="00775D0E"/>
    <w:rsid w:val="00781693"/>
    <w:rsid w:val="007914E2"/>
    <w:rsid w:val="007A0F86"/>
    <w:rsid w:val="007A218B"/>
    <w:rsid w:val="007B042E"/>
    <w:rsid w:val="007D07E3"/>
    <w:rsid w:val="007E30AE"/>
    <w:rsid w:val="007F1580"/>
    <w:rsid w:val="00801378"/>
    <w:rsid w:val="00802F8D"/>
    <w:rsid w:val="0080637B"/>
    <w:rsid w:val="00811DD8"/>
    <w:rsid w:val="00844CDB"/>
    <w:rsid w:val="00884591"/>
    <w:rsid w:val="008874CC"/>
    <w:rsid w:val="00895329"/>
    <w:rsid w:val="008B003C"/>
    <w:rsid w:val="008C220D"/>
    <w:rsid w:val="008C2D0E"/>
    <w:rsid w:val="008E5FD0"/>
    <w:rsid w:val="008F6879"/>
    <w:rsid w:val="00917265"/>
    <w:rsid w:val="00942D0A"/>
    <w:rsid w:val="0095331F"/>
    <w:rsid w:val="00961AFF"/>
    <w:rsid w:val="009648B7"/>
    <w:rsid w:val="00977EA3"/>
    <w:rsid w:val="0099297A"/>
    <w:rsid w:val="00995909"/>
    <w:rsid w:val="009A4BD9"/>
    <w:rsid w:val="009A52E0"/>
    <w:rsid w:val="009C064C"/>
    <w:rsid w:val="009C1FD1"/>
    <w:rsid w:val="009E52EF"/>
    <w:rsid w:val="00A03B93"/>
    <w:rsid w:val="00A141CA"/>
    <w:rsid w:val="00A169F1"/>
    <w:rsid w:val="00A17D5B"/>
    <w:rsid w:val="00A448F6"/>
    <w:rsid w:val="00A7041A"/>
    <w:rsid w:val="00AA1323"/>
    <w:rsid w:val="00AB516F"/>
    <w:rsid w:val="00AB6C05"/>
    <w:rsid w:val="00AB715A"/>
    <w:rsid w:val="00AD3D9A"/>
    <w:rsid w:val="00AE77EC"/>
    <w:rsid w:val="00AE7FA5"/>
    <w:rsid w:val="00AF2B69"/>
    <w:rsid w:val="00AF4060"/>
    <w:rsid w:val="00AF61A9"/>
    <w:rsid w:val="00B11379"/>
    <w:rsid w:val="00B30648"/>
    <w:rsid w:val="00B35040"/>
    <w:rsid w:val="00B52BA0"/>
    <w:rsid w:val="00B567FA"/>
    <w:rsid w:val="00B61443"/>
    <w:rsid w:val="00B74508"/>
    <w:rsid w:val="00B95BA1"/>
    <w:rsid w:val="00BD5159"/>
    <w:rsid w:val="00BE1BB8"/>
    <w:rsid w:val="00BF5EC4"/>
    <w:rsid w:val="00BF6789"/>
    <w:rsid w:val="00C038FE"/>
    <w:rsid w:val="00C16621"/>
    <w:rsid w:val="00C2178E"/>
    <w:rsid w:val="00C258ED"/>
    <w:rsid w:val="00C31700"/>
    <w:rsid w:val="00C32ECB"/>
    <w:rsid w:val="00C40214"/>
    <w:rsid w:val="00C5337B"/>
    <w:rsid w:val="00C64774"/>
    <w:rsid w:val="00C87BB8"/>
    <w:rsid w:val="00CA1C79"/>
    <w:rsid w:val="00CC1A2B"/>
    <w:rsid w:val="00CE34E3"/>
    <w:rsid w:val="00CF21BF"/>
    <w:rsid w:val="00CF3DD6"/>
    <w:rsid w:val="00D176D8"/>
    <w:rsid w:val="00D32081"/>
    <w:rsid w:val="00D42211"/>
    <w:rsid w:val="00D472AB"/>
    <w:rsid w:val="00D47760"/>
    <w:rsid w:val="00D545F3"/>
    <w:rsid w:val="00D54FD6"/>
    <w:rsid w:val="00D607DF"/>
    <w:rsid w:val="00D673BB"/>
    <w:rsid w:val="00D72729"/>
    <w:rsid w:val="00DA738C"/>
    <w:rsid w:val="00DB08D1"/>
    <w:rsid w:val="00DC1593"/>
    <w:rsid w:val="00DD500B"/>
    <w:rsid w:val="00DD7C6E"/>
    <w:rsid w:val="00DE0798"/>
    <w:rsid w:val="00DF7373"/>
    <w:rsid w:val="00E01627"/>
    <w:rsid w:val="00E04DFD"/>
    <w:rsid w:val="00E24305"/>
    <w:rsid w:val="00E3440E"/>
    <w:rsid w:val="00E756ED"/>
    <w:rsid w:val="00EA434F"/>
    <w:rsid w:val="00EB19B1"/>
    <w:rsid w:val="00EB6EDF"/>
    <w:rsid w:val="00EC3E70"/>
    <w:rsid w:val="00EE061F"/>
    <w:rsid w:val="00F00C8D"/>
    <w:rsid w:val="00F06AD7"/>
    <w:rsid w:val="00F07F01"/>
    <w:rsid w:val="00F22764"/>
    <w:rsid w:val="00F27454"/>
    <w:rsid w:val="00F412C9"/>
    <w:rsid w:val="00F4271E"/>
    <w:rsid w:val="00F47051"/>
    <w:rsid w:val="00F54711"/>
    <w:rsid w:val="00F76752"/>
    <w:rsid w:val="00F845C3"/>
    <w:rsid w:val="00F922B0"/>
    <w:rsid w:val="00F9496A"/>
    <w:rsid w:val="00FA0558"/>
    <w:rsid w:val="00FB7A0A"/>
    <w:rsid w:val="00FC0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3854BC-7017-4931-B22C-1F1BFDA9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5EC4"/>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DC1593"/>
    <w:pPr>
      <w:spacing w:before="100" w:beforeAutospacing="1" w:after="100" w:afterAutospacing="1"/>
    </w:pPr>
  </w:style>
  <w:style w:type="table" w:styleId="Reatabula">
    <w:name w:val="Table Grid"/>
    <w:basedOn w:val="Parastatabula"/>
    <w:rsid w:val="00DC1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00B"/>
    <w:pPr>
      <w:autoSpaceDE w:val="0"/>
      <w:autoSpaceDN w:val="0"/>
      <w:adjustRightInd w:val="0"/>
    </w:pPr>
    <w:rPr>
      <w:rFonts w:eastAsia="Calibri"/>
      <w:color w:val="000000"/>
      <w:sz w:val="24"/>
      <w:szCs w:val="24"/>
      <w:lang w:eastAsia="en-US"/>
    </w:rPr>
  </w:style>
  <w:style w:type="paragraph" w:styleId="Vienkrsteksts">
    <w:name w:val="Plain Text"/>
    <w:basedOn w:val="Parasts"/>
    <w:link w:val="VienkrstekstsRakstz"/>
    <w:uiPriority w:val="99"/>
    <w:unhideWhenUsed/>
    <w:rsid w:val="00AB6C05"/>
    <w:rPr>
      <w:rFonts w:ascii="Calibri" w:eastAsia="Calibri" w:hAnsi="Calibri"/>
      <w:sz w:val="22"/>
      <w:szCs w:val="21"/>
    </w:rPr>
  </w:style>
  <w:style w:type="character" w:customStyle="1" w:styleId="VienkrstekstsRakstz">
    <w:name w:val="Vienkāršs teksts Rakstz."/>
    <w:basedOn w:val="Noklusjumarindkopasfonts"/>
    <w:link w:val="Vienkrsteksts"/>
    <w:uiPriority w:val="99"/>
    <w:rsid w:val="00AB6C05"/>
    <w:rPr>
      <w:rFonts w:ascii="Calibri" w:eastAsia="Calibri" w:hAnsi="Calibri"/>
      <w:sz w:val="22"/>
      <w:szCs w:val="21"/>
      <w:lang w:eastAsia="en-US"/>
    </w:rPr>
  </w:style>
  <w:style w:type="paragraph" w:styleId="Sarakstarindkopa">
    <w:name w:val="List Paragraph"/>
    <w:basedOn w:val="Parasts"/>
    <w:uiPriority w:val="34"/>
    <w:qFormat/>
    <w:rsid w:val="002449A1"/>
    <w:pPr>
      <w:ind w:left="720"/>
      <w:contextualSpacing/>
    </w:pPr>
  </w:style>
  <w:style w:type="paragraph" w:styleId="Galvene">
    <w:name w:val="header"/>
    <w:basedOn w:val="Parasts"/>
    <w:link w:val="GalveneRakstz"/>
    <w:rsid w:val="00615BE3"/>
    <w:pPr>
      <w:tabs>
        <w:tab w:val="center" w:pos="4153"/>
        <w:tab w:val="right" w:pos="8306"/>
      </w:tabs>
    </w:pPr>
  </w:style>
  <w:style w:type="character" w:customStyle="1" w:styleId="GalveneRakstz">
    <w:name w:val="Galvene Rakstz."/>
    <w:basedOn w:val="Noklusjumarindkopasfonts"/>
    <w:link w:val="Galvene"/>
    <w:rsid w:val="00615BE3"/>
    <w:rPr>
      <w:sz w:val="24"/>
      <w:szCs w:val="24"/>
      <w:lang w:val="en-GB" w:eastAsia="en-US"/>
    </w:rPr>
  </w:style>
  <w:style w:type="paragraph" w:styleId="Kjene">
    <w:name w:val="footer"/>
    <w:basedOn w:val="Parasts"/>
    <w:link w:val="KjeneRakstz"/>
    <w:uiPriority w:val="99"/>
    <w:rsid w:val="00615BE3"/>
    <w:pPr>
      <w:tabs>
        <w:tab w:val="center" w:pos="4153"/>
        <w:tab w:val="right" w:pos="8306"/>
      </w:tabs>
    </w:pPr>
  </w:style>
  <w:style w:type="character" w:customStyle="1" w:styleId="KjeneRakstz">
    <w:name w:val="Kājene Rakstz."/>
    <w:basedOn w:val="Noklusjumarindkopasfonts"/>
    <w:link w:val="Kjene"/>
    <w:uiPriority w:val="99"/>
    <w:rsid w:val="00615BE3"/>
    <w:rPr>
      <w:sz w:val="24"/>
      <w:szCs w:val="24"/>
      <w:lang w:val="en-GB" w:eastAsia="en-US"/>
    </w:rPr>
  </w:style>
  <w:style w:type="paragraph" w:styleId="Balonteksts">
    <w:name w:val="Balloon Text"/>
    <w:basedOn w:val="Parasts"/>
    <w:link w:val="BalontekstsRakstz"/>
    <w:rsid w:val="00D32081"/>
    <w:rPr>
      <w:rFonts w:ascii="Segoe UI" w:hAnsi="Segoe UI" w:cs="Segoe UI"/>
      <w:sz w:val="18"/>
      <w:szCs w:val="18"/>
    </w:rPr>
  </w:style>
  <w:style w:type="character" w:customStyle="1" w:styleId="BalontekstsRakstz">
    <w:name w:val="Balonteksts Rakstz."/>
    <w:basedOn w:val="Noklusjumarindkopasfonts"/>
    <w:link w:val="Balonteksts"/>
    <w:rsid w:val="00D3208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1227">
      <w:bodyDiv w:val="1"/>
      <w:marLeft w:val="0"/>
      <w:marRight w:val="0"/>
      <w:marTop w:val="0"/>
      <w:marBottom w:val="0"/>
      <w:divBdr>
        <w:top w:val="none" w:sz="0" w:space="0" w:color="auto"/>
        <w:left w:val="none" w:sz="0" w:space="0" w:color="auto"/>
        <w:bottom w:val="none" w:sz="0" w:space="0" w:color="auto"/>
        <w:right w:val="none" w:sz="0" w:space="0" w:color="auto"/>
      </w:divBdr>
    </w:div>
    <w:div w:id="478690750">
      <w:bodyDiv w:val="1"/>
      <w:marLeft w:val="0"/>
      <w:marRight w:val="0"/>
      <w:marTop w:val="0"/>
      <w:marBottom w:val="0"/>
      <w:divBdr>
        <w:top w:val="none" w:sz="0" w:space="0" w:color="auto"/>
        <w:left w:val="none" w:sz="0" w:space="0" w:color="auto"/>
        <w:bottom w:val="none" w:sz="0" w:space="0" w:color="auto"/>
        <w:right w:val="none" w:sz="0" w:space="0" w:color="auto"/>
      </w:divBdr>
    </w:div>
    <w:div w:id="762649363">
      <w:bodyDiv w:val="1"/>
      <w:marLeft w:val="0"/>
      <w:marRight w:val="0"/>
      <w:marTop w:val="0"/>
      <w:marBottom w:val="0"/>
      <w:divBdr>
        <w:top w:val="none" w:sz="0" w:space="0" w:color="auto"/>
        <w:left w:val="none" w:sz="0" w:space="0" w:color="auto"/>
        <w:bottom w:val="none" w:sz="0" w:space="0" w:color="auto"/>
        <w:right w:val="none" w:sz="0" w:space="0" w:color="auto"/>
      </w:divBdr>
    </w:div>
    <w:div w:id="1061440099">
      <w:bodyDiv w:val="1"/>
      <w:marLeft w:val="0"/>
      <w:marRight w:val="0"/>
      <w:marTop w:val="0"/>
      <w:marBottom w:val="0"/>
      <w:divBdr>
        <w:top w:val="none" w:sz="0" w:space="0" w:color="auto"/>
        <w:left w:val="none" w:sz="0" w:space="0" w:color="auto"/>
        <w:bottom w:val="none" w:sz="0" w:space="0" w:color="auto"/>
        <w:right w:val="none" w:sz="0" w:space="0" w:color="auto"/>
      </w:divBdr>
    </w:div>
    <w:div w:id="1208950799">
      <w:bodyDiv w:val="1"/>
      <w:marLeft w:val="0"/>
      <w:marRight w:val="0"/>
      <w:marTop w:val="0"/>
      <w:marBottom w:val="0"/>
      <w:divBdr>
        <w:top w:val="none" w:sz="0" w:space="0" w:color="auto"/>
        <w:left w:val="none" w:sz="0" w:space="0" w:color="auto"/>
        <w:bottom w:val="none" w:sz="0" w:space="0" w:color="auto"/>
        <w:right w:val="none" w:sz="0" w:space="0" w:color="auto"/>
      </w:divBdr>
    </w:div>
    <w:div w:id="1237745461">
      <w:bodyDiv w:val="1"/>
      <w:marLeft w:val="0"/>
      <w:marRight w:val="0"/>
      <w:marTop w:val="0"/>
      <w:marBottom w:val="0"/>
      <w:divBdr>
        <w:top w:val="none" w:sz="0" w:space="0" w:color="auto"/>
        <w:left w:val="none" w:sz="0" w:space="0" w:color="auto"/>
        <w:bottom w:val="none" w:sz="0" w:space="0" w:color="auto"/>
        <w:right w:val="none" w:sz="0" w:space="0" w:color="auto"/>
      </w:divBdr>
    </w:div>
    <w:div w:id="1376004513">
      <w:bodyDiv w:val="1"/>
      <w:marLeft w:val="0"/>
      <w:marRight w:val="0"/>
      <w:marTop w:val="0"/>
      <w:marBottom w:val="0"/>
      <w:divBdr>
        <w:top w:val="none" w:sz="0" w:space="0" w:color="auto"/>
        <w:left w:val="none" w:sz="0" w:space="0" w:color="auto"/>
        <w:bottom w:val="none" w:sz="0" w:space="0" w:color="auto"/>
        <w:right w:val="none" w:sz="0" w:space="0" w:color="auto"/>
      </w:divBdr>
    </w:div>
    <w:div w:id="1691176391">
      <w:bodyDiv w:val="1"/>
      <w:marLeft w:val="0"/>
      <w:marRight w:val="0"/>
      <w:marTop w:val="0"/>
      <w:marBottom w:val="0"/>
      <w:divBdr>
        <w:top w:val="none" w:sz="0" w:space="0" w:color="auto"/>
        <w:left w:val="none" w:sz="0" w:space="0" w:color="auto"/>
        <w:bottom w:val="none" w:sz="0" w:space="0" w:color="auto"/>
        <w:right w:val="none" w:sz="0" w:space="0" w:color="auto"/>
      </w:divBdr>
    </w:div>
    <w:div w:id="1929269227">
      <w:bodyDiv w:val="1"/>
      <w:marLeft w:val="0"/>
      <w:marRight w:val="0"/>
      <w:marTop w:val="0"/>
      <w:marBottom w:val="0"/>
      <w:divBdr>
        <w:top w:val="none" w:sz="0" w:space="0" w:color="auto"/>
        <w:left w:val="none" w:sz="0" w:space="0" w:color="auto"/>
        <w:bottom w:val="none" w:sz="0" w:space="0" w:color="auto"/>
        <w:right w:val="none" w:sz="0" w:space="0" w:color="auto"/>
      </w:divBdr>
    </w:div>
    <w:div w:id="2014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8977-D1FB-488D-A161-F9BCA66E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5360</Words>
  <Characters>3056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Iepirkuma procedūra Publisko iepirkumu likuma 8</vt:lpstr>
      <vt:lpstr>Iepirkuma procedūra Publisko iepirkumu likuma 8</vt:lpstr>
    </vt:vector>
  </TitlesOfParts>
  <Company>organization</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 Publisko iepirkumu likuma 8</dc:title>
  <dc:subject/>
  <dc:creator>name</dc:creator>
  <cp:keywords/>
  <dc:description/>
  <cp:lastModifiedBy>Deputats</cp:lastModifiedBy>
  <cp:revision>6</cp:revision>
  <cp:lastPrinted>2018-01-08T13:15:00Z</cp:lastPrinted>
  <dcterms:created xsi:type="dcterms:W3CDTF">2018-02-15T13:21:00Z</dcterms:created>
  <dcterms:modified xsi:type="dcterms:W3CDTF">2018-02-19T10:32:00Z</dcterms:modified>
</cp:coreProperties>
</file>