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48F" w:rsidRDefault="005E448F" w:rsidP="005E448F">
      <w:pPr>
        <w:jc w:val="right"/>
      </w:pPr>
    </w:p>
    <w:p w:rsidR="005E448F" w:rsidRDefault="005E448F" w:rsidP="005E448F">
      <w:pPr>
        <w:jc w:val="right"/>
      </w:pPr>
    </w:p>
    <w:p w:rsidR="005E448F" w:rsidRDefault="005E448F" w:rsidP="005E448F">
      <w:pPr>
        <w:jc w:val="right"/>
      </w:pPr>
    </w:p>
    <w:p w:rsidR="00A87878" w:rsidRDefault="005E448F" w:rsidP="005E448F">
      <w:pPr>
        <w:jc w:val="right"/>
      </w:pPr>
      <w:r>
        <w:t>APSTIPRINĀTS</w:t>
      </w:r>
    </w:p>
    <w:p w:rsidR="005E448F" w:rsidRDefault="005E448F" w:rsidP="005E448F">
      <w:pPr>
        <w:jc w:val="right"/>
      </w:pPr>
      <w:r>
        <w:t>ar Kokneses novada domes</w:t>
      </w:r>
    </w:p>
    <w:p w:rsidR="005E448F" w:rsidRDefault="005E448F" w:rsidP="005E448F">
      <w:pPr>
        <w:jc w:val="right"/>
      </w:pPr>
      <w:r>
        <w:t>2017.gada 29.novembra</w:t>
      </w:r>
    </w:p>
    <w:p w:rsidR="005E448F" w:rsidRDefault="005E448F" w:rsidP="005E448F">
      <w:pPr>
        <w:jc w:val="right"/>
      </w:pPr>
      <w:r>
        <w:t>sēdes lēmumu Nr.6.3</w:t>
      </w:r>
    </w:p>
    <w:p w:rsidR="005E448F" w:rsidRPr="00C84672" w:rsidRDefault="005E448F" w:rsidP="005E448F">
      <w:pPr>
        <w:jc w:val="right"/>
      </w:pPr>
      <w:r>
        <w:t>(protokols Nr.14)</w:t>
      </w:r>
    </w:p>
    <w:p w:rsidR="00E627E1" w:rsidRPr="00C84672" w:rsidRDefault="00E627E1"/>
    <w:p w:rsidR="00E627E1" w:rsidRPr="00C84672" w:rsidRDefault="00E627E1"/>
    <w:p w:rsidR="00E627E1" w:rsidRPr="00C84672" w:rsidRDefault="00E627E1"/>
    <w:p w:rsidR="00E627E1" w:rsidRPr="00C84672" w:rsidRDefault="00E627E1"/>
    <w:p w:rsidR="00E627E1" w:rsidRPr="00C84672" w:rsidRDefault="00E627E1"/>
    <w:p w:rsidR="00E627E1" w:rsidRPr="00C84672" w:rsidRDefault="00E627E1"/>
    <w:p w:rsidR="00E627E1" w:rsidRPr="00C84672" w:rsidRDefault="00E627E1"/>
    <w:p w:rsidR="00E627E1" w:rsidRPr="00920C23" w:rsidRDefault="00E627E1"/>
    <w:p w:rsidR="00E627E1" w:rsidRPr="00920C23" w:rsidRDefault="00E437EC" w:rsidP="00E627E1">
      <w:pPr>
        <w:jc w:val="center"/>
        <w:rPr>
          <w:sz w:val="40"/>
          <w:szCs w:val="40"/>
        </w:rPr>
      </w:pPr>
      <w:r w:rsidRPr="00920C23">
        <w:rPr>
          <w:sz w:val="40"/>
          <w:szCs w:val="40"/>
        </w:rPr>
        <w:t>KOKNESES</w:t>
      </w:r>
      <w:r w:rsidR="00E627E1" w:rsidRPr="00920C23">
        <w:rPr>
          <w:sz w:val="40"/>
          <w:szCs w:val="40"/>
        </w:rPr>
        <w:t xml:space="preserve"> NOVADA</w:t>
      </w:r>
    </w:p>
    <w:p w:rsidR="00E627E1" w:rsidRPr="00920C23" w:rsidRDefault="00E627E1" w:rsidP="00E627E1">
      <w:pPr>
        <w:jc w:val="center"/>
        <w:rPr>
          <w:sz w:val="40"/>
          <w:szCs w:val="40"/>
        </w:rPr>
      </w:pPr>
    </w:p>
    <w:p w:rsidR="00E627E1" w:rsidRPr="00920C23" w:rsidRDefault="00E627E1" w:rsidP="00E627E1">
      <w:pPr>
        <w:jc w:val="center"/>
        <w:rPr>
          <w:b/>
          <w:sz w:val="40"/>
          <w:szCs w:val="40"/>
        </w:rPr>
      </w:pPr>
      <w:r w:rsidRPr="00920C23">
        <w:rPr>
          <w:b/>
          <w:sz w:val="40"/>
          <w:szCs w:val="40"/>
        </w:rPr>
        <w:t>SABIEDRĪBAS AR IEROBEŽOTU ATBILDĪBU “</w:t>
      </w:r>
      <w:r w:rsidR="00645F6D" w:rsidRPr="00920C23">
        <w:rPr>
          <w:b/>
          <w:sz w:val="40"/>
          <w:szCs w:val="40"/>
        </w:rPr>
        <w:t>KOKNESES KOMUNĀLIE PAKALPOJUMI”</w:t>
      </w:r>
    </w:p>
    <w:p w:rsidR="00E627E1" w:rsidRDefault="00E627E1" w:rsidP="00E627E1">
      <w:pPr>
        <w:jc w:val="center"/>
        <w:rPr>
          <w:b/>
          <w:sz w:val="40"/>
          <w:szCs w:val="40"/>
        </w:rPr>
      </w:pPr>
    </w:p>
    <w:p w:rsidR="00583B39" w:rsidRPr="00920C23" w:rsidRDefault="00583B39" w:rsidP="00E627E1">
      <w:pPr>
        <w:jc w:val="center"/>
        <w:rPr>
          <w:b/>
          <w:sz w:val="40"/>
          <w:szCs w:val="40"/>
        </w:rPr>
      </w:pPr>
    </w:p>
    <w:p w:rsidR="00E627E1" w:rsidRPr="00920C23" w:rsidRDefault="00583B39" w:rsidP="00E627E1">
      <w:pPr>
        <w:jc w:val="center"/>
        <w:rPr>
          <w:b/>
          <w:sz w:val="40"/>
          <w:szCs w:val="40"/>
        </w:rPr>
      </w:pPr>
      <w:r>
        <w:rPr>
          <w:b/>
          <w:sz w:val="40"/>
          <w:szCs w:val="40"/>
        </w:rPr>
        <w:t>VIDĒJĀ TERMIŅA DARBĪBAS STRATĒĢIJA</w:t>
      </w:r>
      <w:r w:rsidR="00164AD5">
        <w:rPr>
          <w:b/>
          <w:sz w:val="40"/>
          <w:szCs w:val="40"/>
        </w:rPr>
        <w:t xml:space="preserve">S </w:t>
      </w:r>
    </w:p>
    <w:p w:rsidR="00E627E1" w:rsidRDefault="00E627E1" w:rsidP="00E627E1">
      <w:pPr>
        <w:jc w:val="center"/>
        <w:rPr>
          <w:b/>
          <w:sz w:val="40"/>
          <w:szCs w:val="40"/>
        </w:rPr>
      </w:pPr>
      <w:r w:rsidRPr="00920C23">
        <w:rPr>
          <w:b/>
          <w:sz w:val="40"/>
          <w:szCs w:val="40"/>
        </w:rPr>
        <w:t>201</w:t>
      </w:r>
      <w:r w:rsidR="002D2E73">
        <w:rPr>
          <w:b/>
          <w:sz w:val="40"/>
          <w:szCs w:val="40"/>
        </w:rPr>
        <w:t>7</w:t>
      </w:r>
      <w:r w:rsidRPr="00920C23">
        <w:rPr>
          <w:b/>
          <w:sz w:val="40"/>
          <w:szCs w:val="40"/>
        </w:rPr>
        <w:t>.-201</w:t>
      </w:r>
      <w:r w:rsidR="002D2E73">
        <w:rPr>
          <w:b/>
          <w:sz w:val="40"/>
          <w:szCs w:val="40"/>
        </w:rPr>
        <w:t>9</w:t>
      </w:r>
      <w:r w:rsidRPr="00920C23">
        <w:rPr>
          <w:b/>
          <w:sz w:val="40"/>
          <w:szCs w:val="40"/>
        </w:rPr>
        <w:t>.GADAM</w:t>
      </w:r>
    </w:p>
    <w:p w:rsidR="00164AD5" w:rsidRDefault="00164AD5" w:rsidP="00E627E1">
      <w:pPr>
        <w:jc w:val="center"/>
        <w:rPr>
          <w:b/>
          <w:sz w:val="40"/>
          <w:szCs w:val="40"/>
        </w:rPr>
      </w:pPr>
    </w:p>
    <w:p w:rsidR="00164AD5" w:rsidRPr="00920C23" w:rsidRDefault="00164AD5" w:rsidP="00E627E1">
      <w:pPr>
        <w:jc w:val="center"/>
        <w:rPr>
          <w:b/>
          <w:sz w:val="40"/>
          <w:szCs w:val="40"/>
        </w:rPr>
      </w:pPr>
      <w:r>
        <w:rPr>
          <w:b/>
          <w:sz w:val="40"/>
          <w:szCs w:val="40"/>
        </w:rPr>
        <w:t>PAPILDINĀJUMS</w:t>
      </w:r>
    </w:p>
    <w:p w:rsidR="00A9582F" w:rsidRPr="00920C23" w:rsidRDefault="00A9582F" w:rsidP="00E627E1">
      <w:pPr>
        <w:jc w:val="center"/>
        <w:rPr>
          <w:b/>
          <w:sz w:val="40"/>
          <w:szCs w:val="40"/>
        </w:rPr>
      </w:pPr>
    </w:p>
    <w:p w:rsidR="00A9582F" w:rsidRPr="00920C23" w:rsidRDefault="00A9582F" w:rsidP="00E627E1">
      <w:pPr>
        <w:jc w:val="center"/>
        <w:rPr>
          <w:b/>
          <w:sz w:val="40"/>
          <w:szCs w:val="40"/>
        </w:rPr>
      </w:pPr>
    </w:p>
    <w:p w:rsidR="004C7664" w:rsidRPr="00920C23" w:rsidRDefault="004C7664" w:rsidP="00E627E1">
      <w:pPr>
        <w:jc w:val="center"/>
        <w:rPr>
          <w:b/>
          <w:sz w:val="40"/>
          <w:szCs w:val="40"/>
        </w:rPr>
      </w:pPr>
    </w:p>
    <w:p w:rsidR="004C7664" w:rsidRPr="00920C23" w:rsidRDefault="004C7664" w:rsidP="00E627E1">
      <w:pPr>
        <w:jc w:val="center"/>
        <w:rPr>
          <w:b/>
          <w:sz w:val="40"/>
          <w:szCs w:val="40"/>
        </w:rPr>
      </w:pPr>
    </w:p>
    <w:p w:rsidR="004C7664" w:rsidRPr="00920C23" w:rsidRDefault="004C7664" w:rsidP="00E627E1">
      <w:pPr>
        <w:jc w:val="center"/>
        <w:rPr>
          <w:b/>
          <w:sz w:val="40"/>
          <w:szCs w:val="40"/>
        </w:rPr>
      </w:pPr>
    </w:p>
    <w:p w:rsidR="00A9582F" w:rsidRPr="00920C23" w:rsidRDefault="00A9582F" w:rsidP="00E627E1">
      <w:pPr>
        <w:jc w:val="center"/>
        <w:rPr>
          <w:b/>
          <w:sz w:val="40"/>
          <w:szCs w:val="40"/>
        </w:rPr>
      </w:pPr>
    </w:p>
    <w:p w:rsidR="00A9582F" w:rsidRPr="00920C23" w:rsidRDefault="00A9582F" w:rsidP="00E627E1">
      <w:pPr>
        <w:jc w:val="center"/>
        <w:rPr>
          <w:b/>
          <w:sz w:val="40"/>
          <w:szCs w:val="40"/>
        </w:rPr>
      </w:pPr>
    </w:p>
    <w:p w:rsidR="00A9582F" w:rsidRPr="00920C23" w:rsidRDefault="00A9582F" w:rsidP="00E627E1">
      <w:pPr>
        <w:jc w:val="center"/>
        <w:rPr>
          <w:b/>
          <w:sz w:val="40"/>
          <w:szCs w:val="40"/>
        </w:rPr>
      </w:pPr>
    </w:p>
    <w:p w:rsidR="00A9582F" w:rsidRPr="00920C23" w:rsidRDefault="00A9582F" w:rsidP="00E627E1">
      <w:pPr>
        <w:jc w:val="center"/>
        <w:rPr>
          <w:b/>
          <w:sz w:val="40"/>
          <w:szCs w:val="40"/>
        </w:rPr>
      </w:pPr>
    </w:p>
    <w:p w:rsidR="00D3052B" w:rsidRPr="00920C23" w:rsidRDefault="00E437EC" w:rsidP="00E627E1">
      <w:pPr>
        <w:jc w:val="center"/>
        <w:rPr>
          <w:sz w:val="28"/>
          <w:szCs w:val="28"/>
        </w:rPr>
      </w:pPr>
      <w:r w:rsidRPr="00920C23">
        <w:rPr>
          <w:sz w:val="28"/>
          <w:szCs w:val="28"/>
        </w:rPr>
        <w:t>KOKNESE</w:t>
      </w:r>
    </w:p>
    <w:p w:rsidR="0088219E" w:rsidRPr="00920C23" w:rsidRDefault="00D3052B" w:rsidP="00E627E1">
      <w:pPr>
        <w:jc w:val="center"/>
        <w:rPr>
          <w:sz w:val="28"/>
          <w:szCs w:val="28"/>
        </w:rPr>
      </w:pPr>
      <w:r w:rsidRPr="00920C23">
        <w:rPr>
          <w:sz w:val="28"/>
          <w:szCs w:val="28"/>
        </w:rPr>
        <w:t xml:space="preserve"> </w:t>
      </w:r>
      <w:r w:rsidR="0088219E" w:rsidRPr="00920C23">
        <w:rPr>
          <w:sz w:val="28"/>
          <w:szCs w:val="28"/>
        </w:rPr>
        <w:t>201</w:t>
      </w:r>
      <w:r w:rsidR="002D2E73">
        <w:rPr>
          <w:sz w:val="28"/>
          <w:szCs w:val="28"/>
        </w:rPr>
        <w:t>7</w:t>
      </w:r>
    </w:p>
    <w:p w:rsidR="00A9582F" w:rsidRPr="00920C23" w:rsidRDefault="00A9582F" w:rsidP="00E627E1">
      <w:pPr>
        <w:jc w:val="center"/>
        <w:rPr>
          <w:b/>
          <w:sz w:val="40"/>
          <w:szCs w:val="40"/>
        </w:rPr>
      </w:pPr>
    </w:p>
    <w:p w:rsidR="00A9582F" w:rsidRPr="00920C23" w:rsidRDefault="00A9582F" w:rsidP="00E627E1">
      <w:pPr>
        <w:jc w:val="center"/>
        <w:rPr>
          <w:b/>
          <w:sz w:val="40"/>
          <w:szCs w:val="40"/>
        </w:rPr>
      </w:pPr>
    </w:p>
    <w:p w:rsidR="00A9582F" w:rsidRPr="00920C23" w:rsidRDefault="00A9582F" w:rsidP="00E627E1">
      <w:pPr>
        <w:jc w:val="center"/>
        <w:rPr>
          <w:b/>
          <w:sz w:val="40"/>
          <w:szCs w:val="40"/>
        </w:rPr>
      </w:pPr>
    </w:p>
    <w:p w:rsidR="00A9582F" w:rsidRPr="008B26BD" w:rsidRDefault="00A9582F" w:rsidP="00E627E1">
      <w:pPr>
        <w:jc w:val="center"/>
      </w:pPr>
      <w:r w:rsidRPr="008B26BD">
        <w:t>SATURS</w:t>
      </w:r>
    </w:p>
    <w:p w:rsidR="00D2016E" w:rsidRDefault="00D2016E"/>
    <w:sdt>
      <w:sdtPr>
        <w:rPr>
          <w:rFonts w:ascii="Times New Roman" w:eastAsia="Times New Roman" w:hAnsi="Times New Roman" w:cs="Times New Roman"/>
          <w:b w:val="0"/>
          <w:bCs w:val="0"/>
          <w:color w:val="auto"/>
          <w:sz w:val="24"/>
          <w:szCs w:val="24"/>
          <w:lang w:val="lv-LV"/>
        </w:rPr>
        <w:id w:val="21619341"/>
        <w:docPartObj>
          <w:docPartGallery w:val="Table of Contents"/>
          <w:docPartUnique/>
        </w:docPartObj>
      </w:sdtPr>
      <w:sdtEndPr/>
      <w:sdtContent>
        <w:p w:rsidR="00BF54D7" w:rsidRDefault="00BF54D7">
          <w:pPr>
            <w:pStyle w:val="Saturardtjavirsraksts"/>
          </w:pPr>
        </w:p>
        <w:p w:rsidR="008B7ED5" w:rsidRDefault="00D77D7F">
          <w:pPr>
            <w:pStyle w:val="Saturs1"/>
            <w:tabs>
              <w:tab w:val="left" w:pos="440"/>
            </w:tabs>
            <w:rPr>
              <w:rFonts w:asciiTheme="minorHAnsi" w:eastAsiaTheme="minorEastAsia" w:hAnsiTheme="minorHAnsi" w:cstheme="minorBidi"/>
              <w:noProof/>
              <w:sz w:val="22"/>
              <w:szCs w:val="22"/>
              <w:lang w:eastAsia="lv-LV"/>
            </w:rPr>
          </w:pPr>
          <w:r>
            <w:fldChar w:fldCharType="begin"/>
          </w:r>
          <w:r w:rsidR="00BF54D7">
            <w:instrText xml:space="preserve"> TOC \o "1-3" \h \z \u </w:instrText>
          </w:r>
          <w:r>
            <w:fldChar w:fldCharType="separate"/>
          </w:r>
          <w:hyperlink w:anchor="_Toc498420722" w:history="1">
            <w:r w:rsidR="008B7ED5" w:rsidRPr="00704FD0">
              <w:rPr>
                <w:rStyle w:val="Hipersaite"/>
                <w:noProof/>
              </w:rPr>
              <w:t>1.</w:t>
            </w:r>
            <w:r w:rsidR="008B7ED5">
              <w:rPr>
                <w:rFonts w:asciiTheme="minorHAnsi" w:eastAsiaTheme="minorEastAsia" w:hAnsiTheme="minorHAnsi" w:cstheme="minorBidi"/>
                <w:noProof/>
                <w:sz w:val="22"/>
                <w:szCs w:val="22"/>
                <w:lang w:eastAsia="lv-LV"/>
              </w:rPr>
              <w:tab/>
            </w:r>
            <w:r w:rsidR="008B7ED5" w:rsidRPr="00704FD0">
              <w:rPr>
                <w:rStyle w:val="Hipersaite"/>
                <w:noProof/>
              </w:rPr>
              <w:t>Precizējums</w:t>
            </w:r>
            <w:r w:rsidR="008B7ED5">
              <w:rPr>
                <w:noProof/>
                <w:webHidden/>
              </w:rPr>
              <w:tab/>
            </w:r>
            <w:r>
              <w:rPr>
                <w:noProof/>
                <w:webHidden/>
              </w:rPr>
              <w:fldChar w:fldCharType="begin"/>
            </w:r>
            <w:r w:rsidR="008B7ED5">
              <w:rPr>
                <w:noProof/>
                <w:webHidden/>
              </w:rPr>
              <w:instrText xml:space="preserve"> PAGEREF _Toc498420722 \h </w:instrText>
            </w:r>
            <w:r>
              <w:rPr>
                <w:noProof/>
                <w:webHidden/>
              </w:rPr>
            </w:r>
            <w:r>
              <w:rPr>
                <w:noProof/>
                <w:webHidden/>
              </w:rPr>
              <w:fldChar w:fldCharType="separate"/>
            </w:r>
            <w:r w:rsidR="00B12AF9">
              <w:rPr>
                <w:noProof/>
                <w:webHidden/>
              </w:rPr>
              <w:t>3</w:t>
            </w:r>
            <w:r>
              <w:rPr>
                <w:noProof/>
                <w:webHidden/>
              </w:rPr>
              <w:fldChar w:fldCharType="end"/>
            </w:r>
          </w:hyperlink>
        </w:p>
        <w:p w:rsidR="008B7ED5" w:rsidRDefault="00FE57F9">
          <w:pPr>
            <w:pStyle w:val="Saturs1"/>
            <w:tabs>
              <w:tab w:val="left" w:pos="440"/>
            </w:tabs>
            <w:rPr>
              <w:rFonts w:asciiTheme="minorHAnsi" w:eastAsiaTheme="minorEastAsia" w:hAnsiTheme="minorHAnsi" w:cstheme="minorBidi"/>
              <w:noProof/>
              <w:sz w:val="22"/>
              <w:szCs w:val="22"/>
              <w:lang w:eastAsia="lv-LV"/>
            </w:rPr>
          </w:pPr>
          <w:hyperlink w:anchor="_Toc498420723" w:history="1">
            <w:r w:rsidR="008B7ED5" w:rsidRPr="00704FD0">
              <w:rPr>
                <w:rStyle w:val="Hipersaite"/>
                <w:noProof/>
              </w:rPr>
              <w:t>2.</w:t>
            </w:r>
            <w:r w:rsidR="008B7ED5">
              <w:rPr>
                <w:rFonts w:asciiTheme="minorHAnsi" w:eastAsiaTheme="minorEastAsia" w:hAnsiTheme="minorHAnsi" w:cstheme="minorBidi"/>
                <w:noProof/>
                <w:sz w:val="22"/>
                <w:szCs w:val="22"/>
                <w:lang w:eastAsia="lv-LV"/>
              </w:rPr>
              <w:tab/>
            </w:r>
            <w:r w:rsidR="008B7ED5" w:rsidRPr="00704FD0">
              <w:rPr>
                <w:rStyle w:val="Hipersaite"/>
                <w:i/>
                <w:noProof/>
              </w:rPr>
              <w:t>Uzņēmuma</w:t>
            </w:r>
            <w:r w:rsidR="008B7ED5" w:rsidRPr="00704FD0">
              <w:rPr>
                <w:rStyle w:val="Hipersaite"/>
                <w:noProof/>
              </w:rPr>
              <w:t xml:space="preserve"> ieņēmumu/izdevumu struktūra</w:t>
            </w:r>
            <w:r w:rsidR="008B7ED5">
              <w:rPr>
                <w:noProof/>
                <w:webHidden/>
              </w:rPr>
              <w:tab/>
            </w:r>
            <w:r w:rsidR="00D77D7F">
              <w:rPr>
                <w:noProof/>
                <w:webHidden/>
              </w:rPr>
              <w:fldChar w:fldCharType="begin"/>
            </w:r>
            <w:r w:rsidR="008B7ED5">
              <w:rPr>
                <w:noProof/>
                <w:webHidden/>
              </w:rPr>
              <w:instrText xml:space="preserve"> PAGEREF _Toc498420723 \h </w:instrText>
            </w:r>
            <w:r w:rsidR="00D77D7F">
              <w:rPr>
                <w:noProof/>
                <w:webHidden/>
              </w:rPr>
            </w:r>
            <w:r w:rsidR="00D77D7F">
              <w:rPr>
                <w:noProof/>
                <w:webHidden/>
              </w:rPr>
              <w:fldChar w:fldCharType="separate"/>
            </w:r>
            <w:r w:rsidR="00B12AF9">
              <w:rPr>
                <w:noProof/>
                <w:webHidden/>
              </w:rPr>
              <w:t>5</w:t>
            </w:r>
            <w:r w:rsidR="00D77D7F">
              <w:rPr>
                <w:noProof/>
                <w:webHidden/>
              </w:rPr>
              <w:fldChar w:fldCharType="end"/>
            </w:r>
          </w:hyperlink>
        </w:p>
        <w:p w:rsidR="008B7ED5" w:rsidRDefault="00FE57F9">
          <w:pPr>
            <w:pStyle w:val="Saturs2"/>
            <w:tabs>
              <w:tab w:val="left" w:pos="880"/>
              <w:tab w:val="right" w:leader="dot" w:pos="9061"/>
            </w:tabs>
            <w:rPr>
              <w:rFonts w:asciiTheme="minorHAnsi" w:eastAsiaTheme="minorEastAsia" w:hAnsiTheme="minorHAnsi" w:cstheme="minorBidi"/>
              <w:noProof/>
              <w:sz w:val="22"/>
              <w:szCs w:val="22"/>
              <w:lang w:eastAsia="lv-LV"/>
            </w:rPr>
          </w:pPr>
          <w:hyperlink w:anchor="_Toc498420724" w:history="1">
            <w:r w:rsidR="008B7ED5" w:rsidRPr="00704FD0">
              <w:rPr>
                <w:rStyle w:val="Hipersaite"/>
                <w:noProof/>
              </w:rPr>
              <w:t>2.1.</w:t>
            </w:r>
            <w:r w:rsidR="008B7ED5">
              <w:rPr>
                <w:rFonts w:asciiTheme="minorHAnsi" w:eastAsiaTheme="minorEastAsia" w:hAnsiTheme="minorHAnsi" w:cstheme="minorBidi"/>
                <w:noProof/>
                <w:sz w:val="22"/>
                <w:szCs w:val="22"/>
                <w:lang w:eastAsia="lv-LV"/>
              </w:rPr>
              <w:tab/>
            </w:r>
            <w:r w:rsidR="008B7ED5" w:rsidRPr="00704FD0">
              <w:rPr>
                <w:rStyle w:val="Hipersaite"/>
                <w:noProof/>
              </w:rPr>
              <w:t>Ieņēmumu struktūra</w:t>
            </w:r>
            <w:r w:rsidR="008B7ED5">
              <w:rPr>
                <w:noProof/>
                <w:webHidden/>
              </w:rPr>
              <w:tab/>
            </w:r>
            <w:r w:rsidR="00D77D7F">
              <w:rPr>
                <w:noProof/>
                <w:webHidden/>
              </w:rPr>
              <w:fldChar w:fldCharType="begin"/>
            </w:r>
            <w:r w:rsidR="008B7ED5">
              <w:rPr>
                <w:noProof/>
                <w:webHidden/>
              </w:rPr>
              <w:instrText xml:space="preserve"> PAGEREF _Toc498420724 \h </w:instrText>
            </w:r>
            <w:r w:rsidR="00D77D7F">
              <w:rPr>
                <w:noProof/>
                <w:webHidden/>
              </w:rPr>
            </w:r>
            <w:r w:rsidR="00D77D7F">
              <w:rPr>
                <w:noProof/>
                <w:webHidden/>
              </w:rPr>
              <w:fldChar w:fldCharType="separate"/>
            </w:r>
            <w:r w:rsidR="00B12AF9">
              <w:rPr>
                <w:noProof/>
                <w:webHidden/>
              </w:rPr>
              <w:t>5</w:t>
            </w:r>
            <w:r w:rsidR="00D77D7F">
              <w:rPr>
                <w:noProof/>
                <w:webHidden/>
              </w:rPr>
              <w:fldChar w:fldCharType="end"/>
            </w:r>
          </w:hyperlink>
        </w:p>
        <w:p w:rsidR="008B7ED5" w:rsidRDefault="00FE57F9">
          <w:pPr>
            <w:pStyle w:val="Saturs2"/>
            <w:tabs>
              <w:tab w:val="left" w:pos="880"/>
              <w:tab w:val="right" w:leader="dot" w:pos="9061"/>
            </w:tabs>
            <w:rPr>
              <w:rFonts w:asciiTheme="minorHAnsi" w:eastAsiaTheme="minorEastAsia" w:hAnsiTheme="minorHAnsi" w:cstheme="minorBidi"/>
              <w:noProof/>
              <w:sz w:val="22"/>
              <w:szCs w:val="22"/>
              <w:lang w:eastAsia="lv-LV"/>
            </w:rPr>
          </w:pPr>
          <w:hyperlink w:anchor="_Toc498420725" w:history="1">
            <w:r w:rsidR="008B7ED5" w:rsidRPr="00704FD0">
              <w:rPr>
                <w:rStyle w:val="Hipersaite"/>
                <w:noProof/>
              </w:rPr>
              <w:t>2.2.</w:t>
            </w:r>
            <w:r w:rsidR="008B7ED5">
              <w:rPr>
                <w:rFonts w:asciiTheme="minorHAnsi" w:eastAsiaTheme="minorEastAsia" w:hAnsiTheme="minorHAnsi" w:cstheme="minorBidi"/>
                <w:noProof/>
                <w:sz w:val="22"/>
                <w:szCs w:val="22"/>
                <w:lang w:eastAsia="lv-LV"/>
              </w:rPr>
              <w:tab/>
            </w:r>
            <w:r w:rsidR="008B7ED5" w:rsidRPr="00704FD0">
              <w:rPr>
                <w:rStyle w:val="Hipersaite"/>
                <w:noProof/>
              </w:rPr>
              <w:t>Izdevumu struktūra</w:t>
            </w:r>
            <w:r w:rsidR="008B7ED5">
              <w:rPr>
                <w:noProof/>
                <w:webHidden/>
              </w:rPr>
              <w:tab/>
            </w:r>
            <w:r w:rsidR="00D77D7F">
              <w:rPr>
                <w:noProof/>
                <w:webHidden/>
              </w:rPr>
              <w:fldChar w:fldCharType="begin"/>
            </w:r>
            <w:r w:rsidR="008B7ED5">
              <w:rPr>
                <w:noProof/>
                <w:webHidden/>
              </w:rPr>
              <w:instrText xml:space="preserve"> PAGEREF _Toc498420725 \h </w:instrText>
            </w:r>
            <w:r w:rsidR="00D77D7F">
              <w:rPr>
                <w:noProof/>
                <w:webHidden/>
              </w:rPr>
            </w:r>
            <w:r w:rsidR="00D77D7F">
              <w:rPr>
                <w:noProof/>
                <w:webHidden/>
              </w:rPr>
              <w:fldChar w:fldCharType="separate"/>
            </w:r>
            <w:r w:rsidR="00B12AF9">
              <w:rPr>
                <w:noProof/>
                <w:webHidden/>
              </w:rPr>
              <w:t>6</w:t>
            </w:r>
            <w:r w:rsidR="00D77D7F">
              <w:rPr>
                <w:noProof/>
                <w:webHidden/>
              </w:rPr>
              <w:fldChar w:fldCharType="end"/>
            </w:r>
          </w:hyperlink>
        </w:p>
        <w:p w:rsidR="008B7ED5" w:rsidRDefault="00FE57F9">
          <w:pPr>
            <w:pStyle w:val="Saturs1"/>
            <w:tabs>
              <w:tab w:val="left" w:pos="440"/>
            </w:tabs>
            <w:rPr>
              <w:rFonts w:asciiTheme="minorHAnsi" w:eastAsiaTheme="minorEastAsia" w:hAnsiTheme="minorHAnsi" w:cstheme="minorBidi"/>
              <w:noProof/>
              <w:sz w:val="22"/>
              <w:szCs w:val="22"/>
              <w:lang w:eastAsia="lv-LV"/>
            </w:rPr>
          </w:pPr>
          <w:hyperlink w:anchor="_Toc498420726" w:history="1">
            <w:r w:rsidR="008B7ED5" w:rsidRPr="00704FD0">
              <w:rPr>
                <w:rStyle w:val="Hipersaite"/>
                <w:noProof/>
              </w:rPr>
              <w:t>3.</w:t>
            </w:r>
            <w:r w:rsidR="008B7ED5">
              <w:rPr>
                <w:rFonts w:asciiTheme="minorHAnsi" w:eastAsiaTheme="minorEastAsia" w:hAnsiTheme="minorHAnsi" w:cstheme="minorBidi"/>
                <w:noProof/>
                <w:sz w:val="22"/>
                <w:szCs w:val="22"/>
                <w:lang w:eastAsia="lv-LV"/>
              </w:rPr>
              <w:tab/>
            </w:r>
            <w:r w:rsidR="008B7ED5" w:rsidRPr="00704FD0">
              <w:rPr>
                <w:rStyle w:val="Hipersaite"/>
                <w:i/>
                <w:noProof/>
              </w:rPr>
              <w:t>Uzņēmuma</w:t>
            </w:r>
            <w:r w:rsidR="008B7ED5" w:rsidRPr="00704FD0">
              <w:rPr>
                <w:rStyle w:val="Hipersaite"/>
                <w:noProof/>
              </w:rPr>
              <w:t xml:space="preserve"> attīstības svarīgākie uzdevumi 2017.-2019.gadam</w:t>
            </w:r>
            <w:r w:rsidR="008B7ED5">
              <w:rPr>
                <w:noProof/>
                <w:webHidden/>
              </w:rPr>
              <w:tab/>
            </w:r>
            <w:r w:rsidR="00D77D7F">
              <w:rPr>
                <w:noProof/>
                <w:webHidden/>
              </w:rPr>
              <w:fldChar w:fldCharType="begin"/>
            </w:r>
            <w:r w:rsidR="008B7ED5">
              <w:rPr>
                <w:noProof/>
                <w:webHidden/>
              </w:rPr>
              <w:instrText xml:space="preserve"> PAGEREF _Toc498420726 \h </w:instrText>
            </w:r>
            <w:r w:rsidR="00D77D7F">
              <w:rPr>
                <w:noProof/>
                <w:webHidden/>
              </w:rPr>
            </w:r>
            <w:r w:rsidR="00D77D7F">
              <w:rPr>
                <w:noProof/>
                <w:webHidden/>
              </w:rPr>
              <w:fldChar w:fldCharType="separate"/>
            </w:r>
            <w:r w:rsidR="00B12AF9">
              <w:rPr>
                <w:noProof/>
                <w:webHidden/>
              </w:rPr>
              <w:t>7</w:t>
            </w:r>
            <w:r w:rsidR="00D77D7F">
              <w:rPr>
                <w:noProof/>
                <w:webHidden/>
              </w:rPr>
              <w:fldChar w:fldCharType="end"/>
            </w:r>
          </w:hyperlink>
        </w:p>
        <w:p w:rsidR="008B7ED5" w:rsidRDefault="00FE57F9">
          <w:pPr>
            <w:pStyle w:val="Saturs1"/>
            <w:tabs>
              <w:tab w:val="left" w:pos="440"/>
            </w:tabs>
            <w:rPr>
              <w:rFonts w:asciiTheme="minorHAnsi" w:eastAsiaTheme="minorEastAsia" w:hAnsiTheme="minorHAnsi" w:cstheme="minorBidi"/>
              <w:noProof/>
              <w:sz w:val="22"/>
              <w:szCs w:val="22"/>
              <w:lang w:eastAsia="lv-LV"/>
            </w:rPr>
          </w:pPr>
          <w:hyperlink w:anchor="_Toc498420727" w:history="1">
            <w:r w:rsidR="008B7ED5" w:rsidRPr="00704FD0">
              <w:rPr>
                <w:rStyle w:val="Hipersaite"/>
                <w:noProof/>
              </w:rPr>
              <w:t>4.</w:t>
            </w:r>
            <w:r w:rsidR="008B7ED5">
              <w:rPr>
                <w:rFonts w:asciiTheme="minorHAnsi" w:eastAsiaTheme="minorEastAsia" w:hAnsiTheme="minorHAnsi" w:cstheme="minorBidi"/>
                <w:noProof/>
                <w:sz w:val="22"/>
                <w:szCs w:val="22"/>
                <w:lang w:eastAsia="lv-LV"/>
              </w:rPr>
              <w:tab/>
            </w:r>
            <w:r w:rsidR="008B7ED5" w:rsidRPr="00704FD0">
              <w:rPr>
                <w:rStyle w:val="Hipersaite"/>
                <w:i/>
                <w:noProof/>
              </w:rPr>
              <w:t>Uzņēmuma</w:t>
            </w:r>
            <w:r w:rsidR="008B7ED5" w:rsidRPr="00704FD0">
              <w:rPr>
                <w:rStyle w:val="Hipersaite"/>
                <w:noProof/>
              </w:rPr>
              <w:t xml:space="preserve"> finanšu plāns 2017.- 2019.gadam pa struktūrvienībām</w:t>
            </w:r>
            <w:r w:rsidR="008B7ED5">
              <w:rPr>
                <w:noProof/>
                <w:webHidden/>
              </w:rPr>
              <w:tab/>
            </w:r>
            <w:r w:rsidR="00D77D7F">
              <w:rPr>
                <w:noProof/>
                <w:webHidden/>
              </w:rPr>
              <w:fldChar w:fldCharType="begin"/>
            </w:r>
            <w:r w:rsidR="008B7ED5">
              <w:rPr>
                <w:noProof/>
                <w:webHidden/>
              </w:rPr>
              <w:instrText xml:space="preserve"> PAGEREF _Toc498420727 \h </w:instrText>
            </w:r>
            <w:r w:rsidR="00D77D7F">
              <w:rPr>
                <w:noProof/>
                <w:webHidden/>
              </w:rPr>
            </w:r>
            <w:r w:rsidR="00D77D7F">
              <w:rPr>
                <w:noProof/>
                <w:webHidden/>
              </w:rPr>
              <w:fldChar w:fldCharType="separate"/>
            </w:r>
            <w:r w:rsidR="00B12AF9">
              <w:rPr>
                <w:noProof/>
                <w:webHidden/>
              </w:rPr>
              <w:t>8</w:t>
            </w:r>
            <w:r w:rsidR="00D77D7F">
              <w:rPr>
                <w:noProof/>
                <w:webHidden/>
              </w:rPr>
              <w:fldChar w:fldCharType="end"/>
            </w:r>
          </w:hyperlink>
        </w:p>
        <w:p w:rsidR="008B7ED5" w:rsidRDefault="00FE57F9">
          <w:pPr>
            <w:pStyle w:val="Saturs1"/>
            <w:tabs>
              <w:tab w:val="left" w:pos="440"/>
            </w:tabs>
            <w:rPr>
              <w:rFonts w:asciiTheme="minorHAnsi" w:eastAsiaTheme="minorEastAsia" w:hAnsiTheme="minorHAnsi" w:cstheme="minorBidi"/>
              <w:noProof/>
              <w:sz w:val="22"/>
              <w:szCs w:val="22"/>
              <w:lang w:eastAsia="lv-LV"/>
            </w:rPr>
          </w:pPr>
          <w:hyperlink w:anchor="_Toc498420728" w:history="1">
            <w:r w:rsidR="008B7ED5" w:rsidRPr="00704FD0">
              <w:rPr>
                <w:rStyle w:val="Hipersaite"/>
                <w:noProof/>
              </w:rPr>
              <w:t>5.</w:t>
            </w:r>
            <w:r w:rsidR="008B7ED5">
              <w:rPr>
                <w:rFonts w:asciiTheme="minorHAnsi" w:eastAsiaTheme="minorEastAsia" w:hAnsiTheme="minorHAnsi" w:cstheme="minorBidi"/>
                <w:noProof/>
                <w:sz w:val="22"/>
                <w:szCs w:val="22"/>
                <w:lang w:eastAsia="lv-LV"/>
              </w:rPr>
              <w:tab/>
            </w:r>
            <w:r w:rsidR="008B7ED5" w:rsidRPr="00704FD0">
              <w:rPr>
                <w:rStyle w:val="Hipersaite"/>
                <w:noProof/>
              </w:rPr>
              <w:t>Ī</w:t>
            </w:r>
            <w:r w:rsidR="008B7ED5">
              <w:rPr>
                <w:rStyle w:val="Hipersaite"/>
                <w:noProof/>
              </w:rPr>
              <w:t>stermiņa un ilgtermiņa saistību grafiks</w:t>
            </w:r>
            <w:r w:rsidR="008B7ED5">
              <w:rPr>
                <w:noProof/>
                <w:webHidden/>
              </w:rPr>
              <w:tab/>
            </w:r>
            <w:r w:rsidR="00D77D7F">
              <w:rPr>
                <w:noProof/>
                <w:webHidden/>
              </w:rPr>
              <w:fldChar w:fldCharType="begin"/>
            </w:r>
            <w:r w:rsidR="008B7ED5">
              <w:rPr>
                <w:noProof/>
                <w:webHidden/>
              </w:rPr>
              <w:instrText xml:space="preserve"> PAGEREF _Toc498420728 \h </w:instrText>
            </w:r>
            <w:r w:rsidR="00D77D7F">
              <w:rPr>
                <w:noProof/>
                <w:webHidden/>
              </w:rPr>
            </w:r>
            <w:r w:rsidR="00D77D7F">
              <w:rPr>
                <w:noProof/>
                <w:webHidden/>
              </w:rPr>
              <w:fldChar w:fldCharType="separate"/>
            </w:r>
            <w:r w:rsidR="00B12AF9">
              <w:rPr>
                <w:noProof/>
                <w:webHidden/>
              </w:rPr>
              <w:t>10</w:t>
            </w:r>
            <w:r w:rsidR="00D77D7F">
              <w:rPr>
                <w:noProof/>
                <w:webHidden/>
              </w:rPr>
              <w:fldChar w:fldCharType="end"/>
            </w:r>
          </w:hyperlink>
        </w:p>
        <w:p w:rsidR="008B7ED5" w:rsidRDefault="00FE57F9">
          <w:pPr>
            <w:pStyle w:val="Saturs1"/>
            <w:tabs>
              <w:tab w:val="left" w:pos="440"/>
            </w:tabs>
            <w:rPr>
              <w:rFonts w:asciiTheme="minorHAnsi" w:eastAsiaTheme="minorEastAsia" w:hAnsiTheme="minorHAnsi" w:cstheme="minorBidi"/>
              <w:noProof/>
              <w:sz w:val="22"/>
              <w:szCs w:val="22"/>
              <w:lang w:eastAsia="lv-LV"/>
            </w:rPr>
          </w:pPr>
          <w:hyperlink w:anchor="_Toc498420729" w:history="1">
            <w:r w:rsidR="008B7ED5" w:rsidRPr="00704FD0">
              <w:rPr>
                <w:rStyle w:val="Hipersaite"/>
                <w:noProof/>
              </w:rPr>
              <w:t>6.</w:t>
            </w:r>
            <w:r w:rsidR="008B7ED5">
              <w:rPr>
                <w:rFonts w:asciiTheme="minorHAnsi" w:eastAsiaTheme="minorEastAsia" w:hAnsiTheme="minorHAnsi" w:cstheme="minorBidi"/>
                <w:noProof/>
                <w:sz w:val="22"/>
                <w:szCs w:val="22"/>
                <w:lang w:eastAsia="lv-LV"/>
              </w:rPr>
              <w:tab/>
            </w:r>
            <w:r w:rsidR="008B7ED5" w:rsidRPr="00704FD0">
              <w:rPr>
                <w:rStyle w:val="Hipersaite"/>
                <w:noProof/>
              </w:rPr>
              <w:t>P</w:t>
            </w:r>
            <w:r w:rsidR="008B7ED5">
              <w:rPr>
                <w:rStyle w:val="Hipersaite"/>
                <w:noProof/>
              </w:rPr>
              <w:t>lānotie nodokļu, nodevu un valsts sociālo apdrošināšanas iemaksu maksājumi</w:t>
            </w:r>
            <w:r w:rsidR="008B7ED5" w:rsidRPr="00704FD0">
              <w:rPr>
                <w:rStyle w:val="Hipersaite"/>
                <w:noProof/>
              </w:rPr>
              <w:t xml:space="preserve"> 2017. – 2019.gadā</w:t>
            </w:r>
            <w:r w:rsidR="008B7ED5">
              <w:rPr>
                <w:noProof/>
                <w:webHidden/>
              </w:rPr>
              <w:tab/>
            </w:r>
            <w:r w:rsidR="00D77D7F">
              <w:rPr>
                <w:noProof/>
                <w:webHidden/>
              </w:rPr>
              <w:fldChar w:fldCharType="begin"/>
            </w:r>
            <w:r w:rsidR="008B7ED5">
              <w:rPr>
                <w:noProof/>
                <w:webHidden/>
              </w:rPr>
              <w:instrText xml:space="preserve"> PAGEREF _Toc498420729 \h </w:instrText>
            </w:r>
            <w:r w:rsidR="00D77D7F">
              <w:rPr>
                <w:noProof/>
                <w:webHidden/>
              </w:rPr>
            </w:r>
            <w:r w:rsidR="00D77D7F">
              <w:rPr>
                <w:noProof/>
                <w:webHidden/>
              </w:rPr>
              <w:fldChar w:fldCharType="separate"/>
            </w:r>
            <w:r w:rsidR="00B12AF9">
              <w:rPr>
                <w:noProof/>
                <w:webHidden/>
              </w:rPr>
              <w:t>11</w:t>
            </w:r>
            <w:r w:rsidR="00D77D7F">
              <w:rPr>
                <w:noProof/>
                <w:webHidden/>
              </w:rPr>
              <w:fldChar w:fldCharType="end"/>
            </w:r>
          </w:hyperlink>
        </w:p>
        <w:p w:rsidR="008B7ED5" w:rsidRDefault="00FE57F9">
          <w:pPr>
            <w:pStyle w:val="Saturs1"/>
            <w:tabs>
              <w:tab w:val="left" w:pos="440"/>
            </w:tabs>
            <w:rPr>
              <w:rFonts w:asciiTheme="minorHAnsi" w:eastAsiaTheme="minorEastAsia" w:hAnsiTheme="minorHAnsi" w:cstheme="minorBidi"/>
              <w:noProof/>
              <w:sz w:val="22"/>
              <w:szCs w:val="22"/>
              <w:lang w:eastAsia="lv-LV"/>
            </w:rPr>
          </w:pPr>
          <w:hyperlink w:anchor="_Toc498420730" w:history="1">
            <w:r w:rsidR="008B7ED5" w:rsidRPr="00704FD0">
              <w:rPr>
                <w:rStyle w:val="Hipersaite"/>
                <w:noProof/>
              </w:rPr>
              <w:t>7.</w:t>
            </w:r>
            <w:r w:rsidR="008B7ED5">
              <w:rPr>
                <w:rFonts w:asciiTheme="minorHAnsi" w:eastAsiaTheme="minorEastAsia" w:hAnsiTheme="minorHAnsi" w:cstheme="minorBidi"/>
                <w:noProof/>
                <w:sz w:val="22"/>
                <w:szCs w:val="22"/>
                <w:lang w:eastAsia="lv-LV"/>
              </w:rPr>
              <w:tab/>
            </w:r>
            <w:r w:rsidR="008B7ED5" w:rsidRPr="00704FD0">
              <w:rPr>
                <w:rStyle w:val="Hipersaite"/>
                <w:noProof/>
              </w:rPr>
              <w:t>Pielikumi</w:t>
            </w:r>
            <w:r w:rsidR="008B7ED5">
              <w:rPr>
                <w:noProof/>
                <w:webHidden/>
              </w:rPr>
              <w:tab/>
            </w:r>
            <w:r w:rsidR="00D77D7F">
              <w:rPr>
                <w:noProof/>
                <w:webHidden/>
              </w:rPr>
              <w:fldChar w:fldCharType="begin"/>
            </w:r>
            <w:r w:rsidR="008B7ED5">
              <w:rPr>
                <w:noProof/>
                <w:webHidden/>
              </w:rPr>
              <w:instrText xml:space="preserve"> PAGEREF _Toc498420730 \h </w:instrText>
            </w:r>
            <w:r w:rsidR="00D77D7F">
              <w:rPr>
                <w:noProof/>
                <w:webHidden/>
              </w:rPr>
            </w:r>
            <w:r w:rsidR="00D77D7F">
              <w:rPr>
                <w:noProof/>
                <w:webHidden/>
              </w:rPr>
              <w:fldChar w:fldCharType="separate"/>
            </w:r>
            <w:r w:rsidR="00B12AF9">
              <w:rPr>
                <w:noProof/>
                <w:webHidden/>
              </w:rPr>
              <w:t>12</w:t>
            </w:r>
            <w:r w:rsidR="00D77D7F">
              <w:rPr>
                <w:noProof/>
                <w:webHidden/>
              </w:rPr>
              <w:fldChar w:fldCharType="end"/>
            </w:r>
          </w:hyperlink>
        </w:p>
        <w:p w:rsidR="00BF54D7" w:rsidRDefault="00D77D7F">
          <w:r>
            <w:fldChar w:fldCharType="end"/>
          </w:r>
        </w:p>
      </w:sdtContent>
    </w:sdt>
    <w:p w:rsidR="004048D0" w:rsidRDefault="004048D0">
      <w:r>
        <w:br w:type="page"/>
      </w:r>
    </w:p>
    <w:p w:rsidR="00D2016E" w:rsidRPr="00D2016E" w:rsidRDefault="00D2016E" w:rsidP="00D2016E">
      <w:pPr>
        <w:pStyle w:val="Virsraksts1"/>
        <w:rPr>
          <w:rStyle w:val="Virsraksts2Rakstz"/>
          <w:b/>
          <w:szCs w:val="24"/>
        </w:rPr>
      </w:pPr>
      <w:bookmarkStart w:id="0" w:name="_Toc498420722"/>
      <w:r w:rsidRPr="00D2016E">
        <w:rPr>
          <w:rStyle w:val="Virsraksts2Rakstz"/>
          <w:b/>
          <w:szCs w:val="24"/>
        </w:rPr>
        <w:lastRenderedPageBreak/>
        <w:t>Precizējums</w:t>
      </w:r>
      <w:bookmarkEnd w:id="0"/>
    </w:p>
    <w:p w:rsidR="00D2016E" w:rsidRPr="00D2016E" w:rsidRDefault="00D2016E" w:rsidP="00BF54D7">
      <w:pPr>
        <w:pStyle w:val="Virsraksts5"/>
        <w:numPr>
          <w:ilvl w:val="0"/>
          <w:numId w:val="0"/>
        </w:numPr>
        <w:spacing w:before="0"/>
        <w:ind w:firstLine="432"/>
        <w:jc w:val="both"/>
        <w:rPr>
          <w:rFonts w:ascii="Times New Roman" w:hAnsi="Times New Roman"/>
          <w:color w:val="auto"/>
          <w:sz w:val="24"/>
          <w:szCs w:val="24"/>
        </w:rPr>
      </w:pPr>
      <w:r w:rsidRPr="00D2016E">
        <w:rPr>
          <w:rFonts w:ascii="Times New Roman" w:hAnsi="Times New Roman"/>
          <w:color w:val="auto"/>
          <w:sz w:val="24"/>
          <w:szCs w:val="24"/>
          <w:lang w:eastAsia="lv-LV"/>
        </w:rPr>
        <w:t xml:space="preserve">Uzņēmuma viens no darbības virzieniem ir </w:t>
      </w:r>
      <w:r w:rsidRPr="00D2016E">
        <w:rPr>
          <w:rFonts w:ascii="Times New Roman" w:hAnsi="Times New Roman"/>
          <w:color w:val="auto"/>
          <w:sz w:val="24"/>
          <w:szCs w:val="24"/>
        </w:rPr>
        <w:t>elektroenerģijas ražošana koģenerācijas režīmā, kam par pamatu bija nepieciešamība nodrošināt Kokneses daudzdzīvokļu māju iedzīvotājus un citus patērētājus ar karstā ūdens padevi.  2007.gada 23.jūlijā bija noslēgts līgums ar Akciju sabiedrību ,,Latvenergo” (turpmāk - LATVENERGO) par Koģenerācijas iekārtā Parka ielā 18, Koknesē, saražotās elektroenerģijas iepirkšanu.</w:t>
      </w:r>
    </w:p>
    <w:p w:rsidR="00D2016E" w:rsidRDefault="00D2016E" w:rsidP="004048D0">
      <w:pPr>
        <w:ind w:firstLine="432"/>
        <w:jc w:val="both"/>
      </w:pPr>
      <w:r w:rsidRPr="00D84269">
        <w:t xml:space="preserve">2009.gada 5.maijā ar Kokneses novada domi tika noslēgts ražošanas iekārtas nomas līgums par koģenerācijas iekārtas </w:t>
      </w:r>
      <w:proofErr w:type="spellStart"/>
      <w:r w:rsidRPr="00D84269">
        <w:t>Tedom</w:t>
      </w:r>
      <w:proofErr w:type="spellEnd"/>
      <w:r w:rsidRPr="00D84269">
        <w:t xml:space="preserve"> </w:t>
      </w:r>
      <w:proofErr w:type="spellStart"/>
      <w:r w:rsidRPr="00D84269">
        <w:t>Cento</w:t>
      </w:r>
      <w:proofErr w:type="spellEnd"/>
      <w:r w:rsidRPr="00D84269">
        <w:t xml:space="preserve"> T160 SPE nomu </w:t>
      </w:r>
      <w:r>
        <w:t>Parka ielā 27, Koknesē. Saskaņā ar šo līgumu</w:t>
      </w:r>
      <w:r w:rsidRPr="00D84269">
        <w:t xml:space="preserve"> SIA ,,Kokneses Komunālie pakalpojumi” </w:t>
      </w:r>
      <w:r>
        <w:t>ietur 6% no ieņēmumiem par saražoto elektroenerģiju koģenerācijas režīmā.</w:t>
      </w:r>
    </w:p>
    <w:p w:rsidR="00D2016E" w:rsidRDefault="00D2016E" w:rsidP="004048D0">
      <w:pPr>
        <w:ind w:firstLine="432"/>
        <w:jc w:val="both"/>
        <w:rPr>
          <w:color w:val="000000" w:themeColor="text1"/>
        </w:rPr>
      </w:pPr>
      <w:r>
        <w:t>2016.gadā</w:t>
      </w:r>
      <w:r>
        <w:rPr>
          <w:color w:val="000000" w:themeColor="text1"/>
        </w:rPr>
        <w:t xml:space="preserve"> uzņēmuma ieņēmumi no elektroenerģijas ražošanas</w:t>
      </w:r>
      <w:r w:rsidRPr="006810BB">
        <w:rPr>
          <w:color w:val="000000" w:themeColor="text1"/>
        </w:rPr>
        <w:t xml:space="preserve"> koģenerācijas režīmā</w:t>
      </w:r>
      <w:r>
        <w:t xml:space="preserve"> sastādīja</w:t>
      </w:r>
      <w:r w:rsidRPr="00920C23">
        <w:t xml:space="preserve"> </w:t>
      </w:r>
      <w:r w:rsidRPr="00920C23">
        <w:rPr>
          <w:color w:val="000000" w:themeColor="text1"/>
        </w:rPr>
        <w:t>2</w:t>
      </w:r>
      <w:r>
        <w:rPr>
          <w:color w:val="000000" w:themeColor="text1"/>
        </w:rPr>
        <w:t>4</w:t>
      </w:r>
      <w:r w:rsidRPr="00920C23">
        <w:rPr>
          <w:color w:val="000000" w:themeColor="text1"/>
        </w:rPr>
        <w:t>.5</w:t>
      </w:r>
      <w:r>
        <w:rPr>
          <w:color w:val="000000" w:themeColor="text1"/>
        </w:rPr>
        <w:t>7</w:t>
      </w:r>
      <w:r w:rsidRPr="00920C23">
        <w:rPr>
          <w:color w:val="000000" w:themeColor="text1"/>
        </w:rPr>
        <w:t>%</w:t>
      </w:r>
      <w:r>
        <w:rPr>
          <w:color w:val="000000" w:themeColor="text1"/>
        </w:rPr>
        <w:t xml:space="preserve">, no kopējā uzņēmuma apgrozījuma, </w:t>
      </w:r>
      <w:r w:rsidRPr="006810BB">
        <w:rPr>
          <w:color w:val="000000" w:themeColor="text1"/>
        </w:rPr>
        <w:t>t.sk. ieņēmumi no nomas koģe</w:t>
      </w:r>
      <w:r>
        <w:rPr>
          <w:color w:val="000000" w:themeColor="text1"/>
        </w:rPr>
        <w:t>nerācijas iekārtas sastādīja 10,</w:t>
      </w:r>
      <w:r w:rsidRPr="006810BB">
        <w:rPr>
          <w:color w:val="000000" w:themeColor="text1"/>
        </w:rPr>
        <w:t>15%.</w:t>
      </w:r>
    </w:p>
    <w:p w:rsidR="00D2016E" w:rsidRDefault="00D2016E" w:rsidP="004048D0">
      <w:pPr>
        <w:ind w:firstLine="432"/>
        <w:jc w:val="both"/>
        <w:rPr>
          <w:color w:val="000000" w:themeColor="text1"/>
        </w:rPr>
      </w:pPr>
      <w:r>
        <w:rPr>
          <w:color w:val="000000" w:themeColor="text1"/>
        </w:rPr>
        <w:t>Pamatojoties uz</w:t>
      </w:r>
      <w:r w:rsidRPr="006810BB">
        <w:rPr>
          <w:color w:val="000000" w:themeColor="text1"/>
        </w:rPr>
        <w:t xml:space="preserve"> 2007.gada 23.jūlijā </w:t>
      </w:r>
      <w:r>
        <w:rPr>
          <w:color w:val="000000" w:themeColor="text1"/>
        </w:rPr>
        <w:t xml:space="preserve">noslēgto līgumu par elektroenerģijas iepirkumu un uz </w:t>
      </w:r>
      <w:r w:rsidRPr="00FC22D8">
        <w:t>2009.gada 10.marta Ministru kabineta noteikumiem Nr.221</w:t>
      </w:r>
      <w:r>
        <w:rPr>
          <w:color w:val="000000" w:themeColor="text1"/>
        </w:rPr>
        <w:t xml:space="preserve">, ar š.g. 1.jūliju </w:t>
      </w:r>
      <w:r>
        <w:t>AS „Enerģijas publiskais tirgotājs”</w:t>
      </w:r>
      <w:r>
        <w:rPr>
          <w:color w:val="000000" w:themeColor="text1"/>
        </w:rPr>
        <w:t xml:space="preserve"> pārtrauca koģenerācijas iekārtā Parka ielā 18, Koknesē, saražotās elektroenerģijas obligāto iepirkumu.</w:t>
      </w:r>
    </w:p>
    <w:p w:rsidR="00D2016E" w:rsidRDefault="00D2016E" w:rsidP="004048D0">
      <w:pPr>
        <w:ind w:firstLine="432"/>
        <w:jc w:val="both"/>
        <w:rPr>
          <w:color w:val="000000" w:themeColor="text1"/>
        </w:rPr>
      </w:pPr>
      <w:r w:rsidRPr="00B018F4">
        <w:rPr>
          <w:color w:val="000000" w:themeColor="text1"/>
        </w:rPr>
        <w:t>Sakarā ar to</w:t>
      </w:r>
      <w:r>
        <w:rPr>
          <w:color w:val="000000" w:themeColor="text1"/>
        </w:rPr>
        <w:t>, ka karstā ūdens uzsildīšanai</w:t>
      </w:r>
      <w:r w:rsidRPr="00B018F4">
        <w:rPr>
          <w:color w:val="000000" w:themeColor="text1"/>
        </w:rPr>
        <w:t xml:space="preserve"> vasaras periodā darbināt šķeldas apkures</w:t>
      </w:r>
      <w:r>
        <w:rPr>
          <w:color w:val="000000" w:themeColor="text1"/>
        </w:rPr>
        <w:t xml:space="preserve"> katlu </w:t>
      </w:r>
      <w:r w:rsidRPr="00B018F4">
        <w:rPr>
          <w:color w:val="000000" w:themeColor="text1"/>
        </w:rPr>
        <w:t>minimālās noslodzes</w:t>
      </w:r>
      <w:r>
        <w:rPr>
          <w:color w:val="000000" w:themeColor="text1"/>
        </w:rPr>
        <w:t xml:space="preserve"> dēļ</w:t>
      </w:r>
      <w:r w:rsidRPr="00B018F4">
        <w:rPr>
          <w:color w:val="000000" w:themeColor="text1"/>
        </w:rPr>
        <w:t xml:space="preserve"> </w:t>
      </w:r>
      <w:r>
        <w:rPr>
          <w:color w:val="000000" w:themeColor="text1"/>
        </w:rPr>
        <w:t>ir ekonomiski neizdevīgi, bet</w:t>
      </w:r>
      <w:r w:rsidRPr="00B018F4">
        <w:rPr>
          <w:color w:val="000000" w:themeColor="text1"/>
        </w:rPr>
        <w:t xml:space="preserve"> </w:t>
      </w:r>
      <w:r>
        <w:rPr>
          <w:color w:val="000000" w:themeColor="text1"/>
        </w:rPr>
        <w:t>patērētāji jānodrošina ar karsto ūdeni līdz apkures sezonas uzsākšanai,</w:t>
      </w:r>
      <w:r w:rsidRPr="00B018F4">
        <w:rPr>
          <w:color w:val="000000" w:themeColor="text1"/>
        </w:rPr>
        <w:t xml:space="preserve"> </w:t>
      </w:r>
      <w:r>
        <w:rPr>
          <w:color w:val="000000" w:themeColor="text1"/>
        </w:rPr>
        <w:t xml:space="preserve">tad </w:t>
      </w:r>
      <w:r w:rsidRPr="00B018F4">
        <w:rPr>
          <w:color w:val="000000" w:themeColor="text1"/>
        </w:rPr>
        <w:t>2017.g</w:t>
      </w:r>
      <w:r>
        <w:rPr>
          <w:color w:val="000000" w:themeColor="text1"/>
        </w:rPr>
        <w:t xml:space="preserve">ada 14.augustā </w:t>
      </w:r>
      <w:r w:rsidRPr="00B018F4">
        <w:rPr>
          <w:color w:val="000000" w:themeColor="text1"/>
        </w:rPr>
        <w:t xml:space="preserve">tika noslēgts līgums Nr.AJ-8/17-PL par elektroenerģijas iepirkumu </w:t>
      </w:r>
      <w:r>
        <w:rPr>
          <w:color w:val="000000" w:themeColor="text1"/>
        </w:rPr>
        <w:t xml:space="preserve">ar SIA ,,AJ </w:t>
      </w:r>
      <w:proofErr w:type="spellStart"/>
      <w:r>
        <w:rPr>
          <w:color w:val="000000" w:themeColor="text1"/>
        </w:rPr>
        <w:t>Power</w:t>
      </w:r>
      <w:proofErr w:type="spellEnd"/>
      <w:r>
        <w:rPr>
          <w:color w:val="000000" w:themeColor="text1"/>
        </w:rPr>
        <w:t xml:space="preserve">”. Saskaņā ar šo līgumu SIA “AJ </w:t>
      </w:r>
      <w:proofErr w:type="spellStart"/>
      <w:r>
        <w:rPr>
          <w:color w:val="000000" w:themeColor="text1"/>
        </w:rPr>
        <w:t>Power</w:t>
      </w:r>
      <w:proofErr w:type="spellEnd"/>
      <w:r>
        <w:rPr>
          <w:color w:val="000000" w:themeColor="text1"/>
        </w:rPr>
        <w:t xml:space="preserve">” iepirka elektroenerģiju vadoties no elektroenerģijas biržas Nord </w:t>
      </w:r>
      <w:proofErr w:type="spellStart"/>
      <w:r>
        <w:rPr>
          <w:color w:val="000000" w:themeColor="text1"/>
        </w:rPr>
        <w:t>Pool</w:t>
      </w:r>
      <w:proofErr w:type="spellEnd"/>
      <w:r>
        <w:rPr>
          <w:color w:val="000000" w:themeColor="text1"/>
        </w:rPr>
        <w:t xml:space="preserve"> Latvijas tirdzniecības apgabala </w:t>
      </w:r>
      <w:proofErr w:type="spellStart"/>
      <w:r>
        <w:rPr>
          <w:color w:val="000000" w:themeColor="text1"/>
        </w:rPr>
        <w:t>ikstundas</w:t>
      </w:r>
      <w:proofErr w:type="spellEnd"/>
      <w:r>
        <w:rPr>
          <w:color w:val="000000" w:themeColor="text1"/>
        </w:rPr>
        <w:t xml:space="preserve"> likmes, kas</w:t>
      </w:r>
      <w:r w:rsidRPr="00B018F4">
        <w:rPr>
          <w:color w:val="000000" w:themeColor="text1"/>
        </w:rPr>
        <w:t xml:space="preserve"> ir būtiski zemāka par AS ,,Enerģijas publiskais tirgotājs” obligāto </w:t>
      </w:r>
      <w:r>
        <w:rPr>
          <w:color w:val="000000" w:themeColor="text1"/>
        </w:rPr>
        <w:t xml:space="preserve">elektroenerģijas </w:t>
      </w:r>
      <w:r w:rsidRPr="00B018F4">
        <w:rPr>
          <w:color w:val="000000" w:themeColor="text1"/>
        </w:rPr>
        <w:t>iepirkuma cenu.</w:t>
      </w:r>
    </w:p>
    <w:p w:rsidR="00D2016E" w:rsidRPr="00FC22D8" w:rsidRDefault="00460AEC" w:rsidP="00460AEC">
      <w:pPr>
        <w:ind w:firstLine="432"/>
        <w:jc w:val="both"/>
      </w:pPr>
      <w:r w:rsidRPr="00FC22D8">
        <w:t>Turklāt</w:t>
      </w:r>
      <w:r w:rsidR="00D2016E" w:rsidRPr="00FC22D8">
        <w:t xml:space="preserve"> pamatojoties uz Ekonomikas ministrijas 2017.gada 3.jūlija</w:t>
      </w:r>
      <w:r w:rsidR="00D2016E">
        <w:t xml:space="preserve"> lēmumu Nr.1-6.1-192</w:t>
      </w:r>
      <w:r w:rsidR="00D2016E" w:rsidRPr="00FC22D8">
        <w:t xml:space="preserve"> koģenerācijas elektrostacijai Parka ielā 27, Koknesē, koģenerācijā saražotās un obligātā iepirkuma ietvaros iepirktās elektroenerģijas iepirkuma cenai ir piemērots cenas diferencēšanas koeficients 0.591</w:t>
      </w:r>
      <w:r w:rsidR="00D2016E">
        <w:t xml:space="preserve"> apmērā </w:t>
      </w:r>
      <w:proofErr w:type="spellStart"/>
      <w:r w:rsidR="00D2016E" w:rsidRPr="00FC22D8">
        <w:t>pārkompensācijas</w:t>
      </w:r>
      <w:proofErr w:type="spellEnd"/>
      <w:r w:rsidR="00D2016E" w:rsidRPr="00FC22D8">
        <w:t xml:space="preserve"> novēršanai.</w:t>
      </w:r>
    </w:p>
    <w:p w:rsidR="00D2016E" w:rsidRDefault="00D2016E" w:rsidP="00460AEC">
      <w:pPr>
        <w:ind w:firstLine="432"/>
        <w:jc w:val="both"/>
        <w:rPr>
          <w:color w:val="000000" w:themeColor="text1"/>
        </w:rPr>
      </w:pPr>
      <w:r>
        <w:rPr>
          <w:color w:val="000000" w:themeColor="text1"/>
        </w:rPr>
        <w:t>Analizējot karstā ūdens sagatavošanas izmaksas laika periodā no 01.08.2017. līdz 02.10.2017., kad tika uzsākta apkures sezona, konstatēts, ka iegūtie līdzekļi no saražotās elektroenerģijas koģenerācijas stacijā Parka ielā 18 pārdošanas un no karstā ūdens uzsildīšanai patērētās siltumenerģijas pārdošanas, nenosedz koģenerācijas iekārtas ekspluatācijas izmaksas.</w:t>
      </w:r>
    </w:p>
    <w:tbl>
      <w:tblPr>
        <w:tblW w:w="9087" w:type="dxa"/>
        <w:tblInd w:w="93" w:type="dxa"/>
        <w:tblLook w:val="04A0" w:firstRow="1" w:lastRow="0" w:firstColumn="1" w:lastColumn="0" w:noHBand="0" w:noVBand="1"/>
      </w:tblPr>
      <w:tblGrid>
        <w:gridCol w:w="338"/>
        <w:gridCol w:w="2578"/>
        <w:gridCol w:w="218"/>
        <w:gridCol w:w="889"/>
        <w:gridCol w:w="440"/>
        <w:gridCol w:w="236"/>
        <w:gridCol w:w="136"/>
        <w:gridCol w:w="2549"/>
        <w:gridCol w:w="236"/>
        <w:gridCol w:w="809"/>
        <w:gridCol w:w="658"/>
      </w:tblGrid>
      <w:tr w:rsidR="00D24F66" w:rsidRPr="00D24F66" w:rsidTr="00D24F66">
        <w:trPr>
          <w:gridAfter w:val="1"/>
          <w:wAfter w:w="658" w:type="dxa"/>
          <w:trHeight w:val="315"/>
        </w:trPr>
        <w:tc>
          <w:tcPr>
            <w:tcW w:w="8429" w:type="dxa"/>
            <w:gridSpan w:val="10"/>
            <w:tcBorders>
              <w:top w:val="nil"/>
              <w:left w:val="nil"/>
              <w:bottom w:val="nil"/>
              <w:right w:val="nil"/>
            </w:tcBorders>
            <w:shd w:val="clear" w:color="auto" w:fill="auto"/>
            <w:noWrap/>
            <w:vAlign w:val="bottom"/>
            <w:hideMark/>
          </w:tcPr>
          <w:p w:rsidR="00D24F66" w:rsidRPr="0027019A" w:rsidRDefault="0027019A" w:rsidP="0027019A">
            <w:pPr>
              <w:jc w:val="center"/>
              <w:rPr>
                <w:b/>
                <w:bCs/>
                <w:color w:val="000000"/>
                <w:sz w:val="20"/>
                <w:szCs w:val="20"/>
              </w:rPr>
            </w:pPr>
            <w:r w:rsidRPr="0027019A">
              <w:rPr>
                <w:b/>
                <w:bCs/>
                <w:color w:val="000000"/>
                <w:sz w:val="20"/>
                <w:szCs w:val="20"/>
              </w:rPr>
              <w:t>IEŅĒMUMU / IZDEVUMU APRĒĶINS PAR KARSTĀ ŪDENS SAGATAVOŠANU KOĢENARĀCIJAS REŽĪMĀ</w:t>
            </w:r>
          </w:p>
        </w:tc>
      </w:tr>
      <w:tr w:rsidR="00D24F66" w:rsidRPr="00D24F66" w:rsidTr="00D24F66">
        <w:trPr>
          <w:trHeight w:val="315"/>
        </w:trPr>
        <w:tc>
          <w:tcPr>
            <w:tcW w:w="338" w:type="dxa"/>
            <w:tcBorders>
              <w:top w:val="nil"/>
              <w:left w:val="nil"/>
              <w:bottom w:val="nil"/>
              <w:right w:val="nil"/>
            </w:tcBorders>
            <w:shd w:val="clear" w:color="auto" w:fill="auto"/>
            <w:noWrap/>
            <w:vAlign w:val="bottom"/>
            <w:hideMark/>
          </w:tcPr>
          <w:p w:rsidR="00D24F66" w:rsidRPr="00D24F66" w:rsidRDefault="00D24F66">
            <w:pPr>
              <w:jc w:val="center"/>
              <w:rPr>
                <w:b/>
                <w:bCs/>
                <w:color w:val="000000"/>
                <w:sz w:val="22"/>
                <w:szCs w:val="22"/>
              </w:rPr>
            </w:pPr>
          </w:p>
        </w:tc>
        <w:tc>
          <w:tcPr>
            <w:tcW w:w="2578" w:type="dxa"/>
            <w:tcBorders>
              <w:top w:val="nil"/>
              <w:left w:val="nil"/>
              <w:bottom w:val="nil"/>
              <w:right w:val="nil"/>
            </w:tcBorders>
            <w:shd w:val="clear" w:color="auto" w:fill="auto"/>
            <w:noWrap/>
            <w:vAlign w:val="bottom"/>
            <w:hideMark/>
          </w:tcPr>
          <w:p w:rsidR="00D24F66" w:rsidRPr="00D24F66" w:rsidRDefault="00D24F66">
            <w:pPr>
              <w:jc w:val="center"/>
              <w:rPr>
                <w:b/>
                <w:bCs/>
                <w:color w:val="000000"/>
                <w:sz w:val="22"/>
                <w:szCs w:val="22"/>
              </w:rPr>
            </w:pPr>
          </w:p>
        </w:tc>
        <w:tc>
          <w:tcPr>
            <w:tcW w:w="1547" w:type="dxa"/>
            <w:gridSpan w:val="3"/>
            <w:tcBorders>
              <w:top w:val="nil"/>
              <w:left w:val="nil"/>
              <w:bottom w:val="nil"/>
              <w:right w:val="nil"/>
            </w:tcBorders>
            <w:shd w:val="clear" w:color="auto" w:fill="auto"/>
            <w:noWrap/>
            <w:vAlign w:val="bottom"/>
            <w:hideMark/>
          </w:tcPr>
          <w:p w:rsidR="00D24F66" w:rsidRPr="00D24F66" w:rsidRDefault="00D24F66">
            <w:pPr>
              <w:jc w:val="center"/>
              <w:rPr>
                <w:b/>
                <w:bCs/>
                <w:color w:val="000000"/>
                <w:sz w:val="22"/>
                <w:szCs w:val="22"/>
              </w:rPr>
            </w:pPr>
          </w:p>
        </w:tc>
        <w:tc>
          <w:tcPr>
            <w:tcW w:w="236" w:type="dxa"/>
            <w:tcBorders>
              <w:top w:val="nil"/>
              <w:left w:val="nil"/>
              <w:bottom w:val="nil"/>
              <w:right w:val="nil"/>
            </w:tcBorders>
            <w:shd w:val="clear" w:color="auto" w:fill="auto"/>
            <w:noWrap/>
            <w:vAlign w:val="bottom"/>
            <w:hideMark/>
          </w:tcPr>
          <w:p w:rsidR="00D24F66" w:rsidRPr="0027019A" w:rsidRDefault="00D24F66">
            <w:pPr>
              <w:jc w:val="center"/>
              <w:rPr>
                <w:b/>
                <w:bCs/>
                <w:color w:val="000000"/>
                <w:sz w:val="20"/>
                <w:szCs w:val="20"/>
              </w:rPr>
            </w:pPr>
          </w:p>
        </w:tc>
        <w:tc>
          <w:tcPr>
            <w:tcW w:w="2921" w:type="dxa"/>
            <w:gridSpan w:val="3"/>
            <w:tcBorders>
              <w:top w:val="nil"/>
              <w:left w:val="nil"/>
              <w:bottom w:val="nil"/>
              <w:right w:val="nil"/>
            </w:tcBorders>
            <w:shd w:val="clear" w:color="auto" w:fill="auto"/>
            <w:noWrap/>
            <w:vAlign w:val="bottom"/>
            <w:hideMark/>
          </w:tcPr>
          <w:p w:rsidR="00D24F66" w:rsidRPr="0027019A" w:rsidRDefault="00D24F66">
            <w:pPr>
              <w:jc w:val="center"/>
              <w:rPr>
                <w:b/>
                <w:bCs/>
                <w:color w:val="000000"/>
                <w:sz w:val="20"/>
                <w:szCs w:val="20"/>
              </w:rPr>
            </w:pPr>
            <w:r w:rsidRPr="0027019A">
              <w:rPr>
                <w:b/>
                <w:bCs/>
                <w:color w:val="000000"/>
                <w:sz w:val="20"/>
                <w:szCs w:val="20"/>
              </w:rPr>
              <w:t>2017.gada AUGUSTS</w:t>
            </w:r>
          </w:p>
        </w:tc>
        <w:tc>
          <w:tcPr>
            <w:tcW w:w="1467" w:type="dxa"/>
            <w:gridSpan w:val="2"/>
            <w:tcBorders>
              <w:top w:val="nil"/>
              <w:left w:val="nil"/>
              <w:bottom w:val="nil"/>
              <w:right w:val="nil"/>
            </w:tcBorders>
            <w:shd w:val="clear" w:color="auto" w:fill="auto"/>
            <w:noWrap/>
            <w:vAlign w:val="bottom"/>
            <w:hideMark/>
          </w:tcPr>
          <w:p w:rsidR="00D24F66" w:rsidRPr="00D24F66" w:rsidRDefault="00D24F66">
            <w:pPr>
              <w:rPr>
                <w:b/>
                <w:bCs/>
                <w:color w:val="000000"/>
                <w:sz w:val="22"/>
                <w:szCs w:val="22"/>
              </w:rPr>
            </w:pPr>
          </w:p>
        </w:tc>
      </w:tr>
      <w:tr w:rsidR="00D24F66" w:rsidRPr="00D24F66" w:rsidTr="00D24F66">
        <w:trPr>
          <w:trHeight w:val="315"/>
        </w:trPr>
        <w:tc>
          <w:tcPr>
            <w:tcW w:w="44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IEŅĒMUMI</w:t>
            </w:r>
          </w:p>
        </w:tc>
        <w:tc>
          <w:tcPr>
            <w:tcW w:w="4624" w:type="dxa"/>
            <w:gridSpan w:val="6"/>
            <w:tcBorders>
              <w:top w:val="single" w:sz="4" w:space="0" w:color="auto"/>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IZDEVUMI</w:t>
            </w:r>
          </w:p>
        </w:tc>
      </w:tr>
      <w:tr w:rsidR="00A43AE5" w:rsidRPr="00D24F66" w:rsidTr="00D24F66">
        <w:trPr>
          <w:trHeight w:val="43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 </w:t>
            </w:r>
          </w:p>
        </w:tc>
        <w:tc>
          <w:tcPr>
            <w:tcW w:w="2796" w:type="dxa"/>
            <w:gridSpan w:val="2"/>
            <w:tcBorders>
              <w:top w:val="nil"/>
              <w:left w:val="nil"/>
              <w:bottom w:val="single" w:sz="4" w:space="0" w:color="auto"/>
              <w:right w:val="single" w:sz="4" w:space="0" w:color="auto"/>
            </w:tcBorders>
            <w:shd w:val="clear" w:color="auto" w:fill="auto"/>
            <w:noWrap/>
            <w:vAlign w:val="center"/>
            <w:hideMark/>
          </w:tcPr>
          <w:p w:rsidR="00D24F66" w:rsidRPr="00D24F66" w:rsidRDefault="00D24F66">
            <w:pPr>
              <w:jc w:val="center"/>
              <w:rPr>
                <w:b/>
                <w:bCs/>
                <w:color w:val="000000"/>
                <w:sz w:val="22"/>
                <w:szCs w:val="22"/>
              </w:rPr>
            </w:pPr>
            <w:r w:rsidRPr="00D24F66">
              <w:rPr>
                <w:b/>
                <w:bCs/>
                <w:color w:val="000000"/>
                <w:sz w:val="22"/>
                <w:szCs w:val="22"/>
              </w:rPr>
              <w:t>Ieņēmums veids</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D24F66" w:rsidRPr="00D24F66" w:rsidRDefault="00D24F66">
            <w:pPr>
              <w:jc w:val="center"/>
              <w:rPr>
                <w:b/>
                <w:bCs/>
                <w:color w:val="000000"/>
                <w:sz w:val="22"/>
                <w:szCs w:val="22"/>
              </w:rPr>
            </w:pPr>
            <w:r w:rsidRPr="00D24F66">
              <w:rPr>
                <w:b/>
                <w:bCs/>
                <w:color w:val="000000"/>
                <w:sz w:val="22"/>
                <w:szCs w:val="22"/>
              </w:rPr>
              <w:t>EUR</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 </w:t>
            </w:r>
          </w:p>
        </w:tc>
        <w:tc>
          <w:tcPr>
            <w:tcW w:w="2549" w:type="dxa"/>
            <w:tcBorders>
              <w:top w:val="nil"/>
              <w:left w:val="nil"/>
              <w:bottom w:val="single" w:sz="4" w:space="0" w:color="auto"/>
              <w:right w:val="single" w:sz="4" w:space="0" w:color="auto"/>
            </w:tcBorders>
            <w:shd w:val="clear" w:color="auto" w:fill="auto"/>
            <w:noWrap/>
            <w:vAlign w:val="center"/>
            <w:hideMark/>
          </w:tcPr>
          <w:p w:rsidR="00D24F66" w:rsidRPr="00D24F66" w:rsidRDefault="00D24F66">
            <w:pPr>
              <w:jc w:val="center"/>
              <w:rPr>
                <w:b/>
                <w:bCs/>
                <w:color w:val="000000"/>
                <w:sz w:val="22"/>
                <w:szCs w:val="22"/>
              </w:rPr>
            </w:pPr>
            <w:r w:rsidRPr="00D24F66">
              <w:rPr>
                <w:b/>
                <w:bCs/>
                <w:color w:val="000000"/>
                <w:sz w:val="22"/>
                <w:szCs w:val="22"/>
              </w:rPr>
              <w:t>Izdevuma veids</w:t>
            </w:r>
          </w:p>
        </w:tc>
        <w:tc>
          <w:tcPr>
            <w:tcW w:w="1703" w:type="dxa"/>
            <w:gridSpan w:val="3"/>
            <w:tcBorders>
              <w:top w:val="nil"/>
              <w:left w:val="nil"/>
              <w:bottom w:val="single" w:sz="4" w:space="0" w:color="auto"/>
              <w:right w:val="single" w:sz="4" w:space="0" w:color="auto"/>
            </w:tcBorders>
            <w:shd w:val="clear" w:color="auto" w:fill="auto"/>
            <w:noWrap/>
            <w:vAlign w:val="center"/>
            <w:hideMark/>
          </w:tcPr>
          <w:p w:rsidR="00D24F66" w:rsidRPr="00D24F66" w:rsidRDefault="00D24F66">
            <w:pPr>
              <w:jc w:val="center"/>
              <w:rPr>
                <w:b/>
                <w:bCs/>
                <w:color w:val="000000"/>
                <w:sz w:val="22"/>
                <w:szCs w:val="22"/>
              </w:rPr>
            </w:pPr>
            <w:r w:rsidRPr="00D24F66">
              <w:rPr>
                <w:b/>
                <w:bCs/>
                <w:color w:val="000000"/>
                <w:sz w:val="22"/>
                <w:szCs w:val="22"/>
              </w:rPr>
              <w:t>EUR</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Elektrība Parka -18</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2 872.29</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Maksa par gāzi</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7 734.95</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2</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Siltums juridiskām pers.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1 085.77</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2</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Darba alga + nodokļi</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375.61</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Siltums fiziskām pers.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1 920.60</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Administrācijas d/a + nod.</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410.00</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4</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Ūdens uzsildīšana</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3 324.76</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4</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Maksa par elektrību</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62.16</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right"/>
              <w:rPr>
                <w:color w:val="000000"/>
                <w:sz w:val="22"/>
                <w:szCs w:val="22"/>
              </w:rPr>
            </w:pPr>
            <w:r w:rsidRPr="00D24F66">
              <w:rPr>
                <w:color w:val="000000"/>
                <w:sz w:val="22"/>
                <w:szCs w:val="22"/>
              </w:rPr>
              <w:t>Kopā</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9 203.42</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SIA "MRK Serviss "</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414.32</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6</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xml:space="preserve">Sakaru </w:t>
            </w:r>
            <w:proofErr w:type="spellStart"/>
            <w:r w:rsidRPr="00D24F66">
              <w:rPr>
                <w:color w:val="000000"/>
                <w:sz w:val="22"/>
                <w:szCs w:val="22"/>
              </w:rPr>
              <w:t>pakaplojumi</w:t>
            </w:r>
            <w:proofErr w:type="spellEnd"/>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30.18</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Tīklā ienākušais siltums</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7</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rsidP="00D24F66">
            <w:pPr>
              <w:rPr>
                <w:color w:val="000000"/>
                <w:sz w:val="22"/>
                <w:szCs w:val="22"/>
              </w:rPr>
            </w:pPr>
            <w:r w:rsidRPr="00D24F66">
              <w:rPr>
                <w:color w:val="000000"/>
                <w:sz w:val="22"/>
                <w:szCs w:val="22"/>
              </w:rPr>
              <w:t>6 %  no el</w:t>
            </w:r>
            <w:r>
              <w:rPr>
                <w:color w:val="000000"/>
                <w:sz w:val="22"/>
                <w:szCs w:val="22"/>
              </w:rPr>
              <w:t>.</w:t>
            </w:r>
            <w:r w:rsidRPr="00D24F66">
              <w:rPr>
                <w:color w:val="000000"/>
                <w:sz w:val="22"/>
                <w:szCs w:val="22"/>
              </w:rPr>
              <w:t xml:space="preserve"> P-18 </w:t>
            </w:r>
            <w:proofErr w:type="spellStart"/>
            <w:r w:rsidRPr="00D24F66">
              <w:rPr>
                <w:color w:val="000000"/>
                <w:sz w:val="22"/>
                <w:szCs w:val="22"/>
              </w:rPr>
              <w:t>ieņ</w:t>
            </w:r>
            <w:proofErr w:type="spellEnd"/>
            <w:r w:rsidRPr="00D24F66">
              <w:rPr>
                <w:color w:val="000000"/>
                <w:sz w:val="22"/>
                <w:szCs w:val="22"/>
              </w:rPr>
              <w:t>.</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172.34</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right"/>
              <w:rPr>
                <w:color w:val="000000"/>
                <w:sz w:val="22"/>
                <w:szCs w:val="22"/>
              </w:rPr>
            </w:pPr>
            <w:r w:rsidRPr="00D24F66">
              <w:rPr>
                <w:color w:val="000000"/>
                <w:sz w:val="22"/>
                <w:szCs w:val="22"/>
              </w:rPr>
              <w:t>no Parka - 27</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-2 863.22</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right"/>
              <w:rPr>
                <w:b/>
                <w:bCs/>
                <w:color w:val="000000"/>
                <w:sz w:val="22"/>
                <w:szCs w:val="22"/>
              </w:rPr>
            </w:pPr>
            <w:r w:rsidRPr="00D24F66">
              <w:rPr>
                <w:b/>
                <w:bCs/>
                <w:color w:val="000000"/>
                <w:sz w:val="22"/>
                <w:szCs w:val="22"/>
              </w:rPr>
              <w:t>Summa</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6 340.20</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right"/>
              <w:rPr>
                <w:b/>
                <w:bCs/>
                <w:color w:val="000000"/>
                <w:sz w:val="22"/>
                <w:szCs w:val="22"/>
              </w:rPr>
            </w:pPr>
            <w:r w:rsidRPr="00D24F66">
              <w:rPr>
                <w:b/>
                <w:bCs/>
                <w:color w:val="000000"/>
                <w:sz w:val="22"/>
                <w:szCs w:val="22"/>
              </w:rPr>
              <w:t>Summa</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9 199.56</w:t>
            </w:r>
          </w:p>
        </w:tc>
      </w:tr>
      <w:tr w:rsidR="00A43AE5"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w:t>
            </w:r>
          </w:p>
        </w:tc>
        <w:tc>
          <w:tcPr>
            <w:tcW w:w="2796"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372"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549"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REZULTĀTS</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-2 859.36</w:t>
            </w:r>
          </w:p>
        </w:tc>
      </w:tr>
      <w:tr w:rsidR="00A43AE5" w:rsidRPr="00D24F66" w:rsidTr="00D24F66">
        <w:trPr>
          <w:trHeight w:val="300"/>
        </w:trPr>
        <w:tc>
          <w:tcPr>
            <w:tcW w:w="338" w:type="dxa"/>
            <w:tcBorders>
              <w:top w:val="nil"/>
              <w:left w:val="nil"/>
              <w:bottom w:val="nil"/>
              <w:right w:val="nil"/>
            </w:tcBorders>
            <w:shd w:val="clear" w:color="auto" w:fill="auto"/>
            <w:noWrap/>
            <w:vAlign w:val="bottom"/>
            <w:hideMark/>
          </w:tcPr>
          <w:p w:rsidR="00D24F66" w:rsidRPr="00D24F66" w:rsidRDefault="00D24F66">
            <w:pPr>
              <w:rPr>
                <w:color w:val="000000"/>
                <w:sz w:val="22"/>
                <w:szCs w:val="22"/>
              </w:rPr>
            </w:pPr>
          </w:p>
        </w:tc>
        <w:tc>
          <w:tcPr>
            <w:tcW w:w="2796" w:type="dxa"/>
            <w:gridSpan w:val="2"/>
            <w:tcBorders>
              <w:top w:val="nil"/>
              <w:left w:val="nil"/>
              <w:bottom w:val="nil"/>
              <w:right w:val="nil"/>
            </w:tcBorders>
            <w:shd w:val="clear" w:color="auto" w:fill="auto"/>
            <w:noWrap/>
            <w:vAlign w:val="bottom"/>
            <w:hideMark/>
          </w:tcPr>
          <w:p w:rsidR="00D24F66" w:rsidRPr="00D24F66" w:rsidRDefault="00D24F66">
            <w:pPr>
              <w:rPr>
                <w:color w:val="000000"/>
                <w:sz w:val="22"/>
                <w:szCs w:val="22"/>
              </w:rPr>
            </w:pPr>
          </w:p>
        </w:tc>
        <w:tc>
          <w:tcPr>
            <w:tcW w:w="1329" w:type="dxa"/>
            <w:gridSpan w:val="2"/>
            <w:tcBorders>
              <w:top w:val="nil"/>
              <w:left w:val="nil"/>
              <w:bottom w:val="nil"/>
              <w:right w:val="nil"/>
            </w:tcBorders>
            <w:shd w:val="clear" w:color="auto" w:fill="auto"/>
            <w:noWrap/>
            <w:vAlign w:val="bottom"/>
            <w:hideMark/>
          </w:tcPr>
          <w:p w:rsidR="00D24F66" w:rsidRPr="00D24F66" w:rsidRDefault="00D24F66">
            <w:pPr>
              <w:jc w:val="center"/>
              <w:rPr>
                <w:color w:val="000000"/>
                <w:sz w:val="22"/>
                <w:szCs w:val="22"/>
              </w:rPr>
            </w:pPr>
          </w:p>
        </w:tc>
        <w:tc>
          <w:tcPr>
            <w:tcW w:w="372" w:type="dxa"/>
            <w:gridSpan w:val="2"/>
            <w:tcBorders>
              <w:top w:val="nil"/>
              <w:left w:val="nil"/>
              <w:bottom w:val="nil"/>
              <w:right w:val="nil"/>
            </w:tcBorders>
            <w:shd w:val="clear" w:color="auto" w:fill="auto"/>
            <w:noWrap/>
            <w:vAlign w:val="bottom"/>
            <w:hideMark/>
          </w:tcPr>
          <w:p w:rsidR="00D24F66" w:rsidRPr="00D24F66" w:rsidRDefault="00D24F66">
            <w:pPr>
              <w:rPr>
                <w:color w:val="000000"/>
                <w:sz w:val="22"/>
                <w:szCs w:val="22"/>
              </w:rPr>
            </w:pPr>
          </w:p>
        </w:tc>
        <w:tc>
          <w:tcPr>
            <w:tcW w:w="2549" w:type="dxa"/>
            <w:tcBorders>
              <w:top w:val="nil"/>
              <w:left w:val="nil"/>
              <w:bottom w:val="nil"/>
              <w:right w:val="nil"/>
            </w:tcBorders>
            <w:shd w:val="clear" w:color="auto" w:fill="auto"/>
            <w:noWrap/>
            <w:vAlign w:val="bottom"/>
            <w:hideMark/>
          </w:tcPr>
          <w:p w:rsidR="00D24F66" w:rsidRPr="00D24F66" w:rsidRDefault="00D24F66">
            <w:pPr>
              <w:rPr>
                <w:color w:val="000000"/>
                <w:sz w:val="22"/>
                <w:szCs w:val="22"/>
              </w:rPr>
            </w:pPr>
          </w:p>
        </w:tc>
        <w:tc>
          <w:tcPr>
            <w:tcW w:w="1703" w:type="dxa"/>
            <w:gridSpan w:val="3"/>
            <w:tcBorders>
              <w:top w:val="nil"/>
              <w:left w:val="nil"/>
              <w:bottom w:val="nil"/>
              <w:right w:val="nil"/>
            </w:tcBorders>
            <w:shd w:val="clear" w:color="auto" w:fill="auto"/>
            <w:noWrap/>
            <w:vAlign w:val="bottom"/>
            <w:hideMark/>
          </w:tcPr>
          <w:p w:rsidR="00D24F66" w:rsidRPr="00D24F66" w:rsidRDefault="00D24F66">
            <w:pPr>
              <w:jc w:val="center"/>
              <w:rPr>
                <w:color w:val="000000"/>
                <w:sz w:val="22"/>
                <w:szCs w:val="22"/>
              </w:rPr>
            </w:pPr>
          </w:p>
        </w:tc>
      </w:tr>
      <w:tr w:rsidR="00A43AE5" w:rsidRPr="00D24F66" w:rsidTr="00D24F66">
        <w:trPr>
          <w:trHeight w:val="300"/>
        </w:trPr>
        <w:tc>
          <w:tcPr>
            <w:tcW w:w="338" w:type="dxa"/>
            <w:tcBorders>
              <w:top w:val="nil"/>
              <w:left w:val="nil"/>
              <w:bottom w:val="nil"/>
              <w:right w:val="nil"/>
            </w:tcBorders>
            <w:shd w:val="clear" w:color="auto" w:fill="auto"/>
            <w:noWrap/>
            <w:vAlign w:val="bottom"/>
            <w:hideMark/>
          </w:tcPr>
          <w:p w:rsidR="00D24F66" w:rsidRPr="00D24F66" w:rsidRDefault="00D24F66">
            <w:pPr>
              <w:rPr>
                <w:color w:val="000000"/>
                <w:sz w:val="22"/>
                <w:szCs w:val="22"/>
              </w:rPr>
            </w:pPr>
          </w:p>
        </w:tc>
        <w:tc>
          <w:tcPr>
            <w:tcW w:w="2796" w:type="dxa"/>
            <w:gridSpan w:val="2"/>
            <w:tcBorders>
              <w:top w:val="nil"/>
              <w:left w:val="nil"/>
              <w:bottom w:val="nil"/>
              <w:right w:val="nil"/>
            </w:tcBorders>
            <w:shd w:val="clear" w:color="auto" w:fill="auto"/>
            <w:noWrap/>
            <w:vAlign w:val="bottom"/>
            <w:hideMark/>
          </w:tcPr>
          <w:p w:rsidR="00D24F66" w:rsidRPr="00D24F66" w:rsidRDefault="00D24F66">
            <w:pPr>
              <w:rPr>
                <w:color w:val="000000"/>
                <w:sz w:val="22"/>
                <w:szCs w:val="22"/>
              </w:rPr>
            </w:pPr>
          </w:p>
        </w:tc>
        <w:tc>
          <w:tcPr>
            <w:tcW w:w="1329" w:type="dxa"/>
            <w:gridSpan w:val="2"/>
            <w:tcBorders>
              <w:top w:val="nil"/>
              <w:left w:val="nil"/>
              <w:bottom w:val="nil"/>
              <w:right w:val="nil"/>
            </w:tcBorders>
            <w:shd w:val="clear" w:color="auto" w:fill="auto"/>
            <w:noWrap/>
            <w:vAlign w:val="bottom"/>
            <w:hideMark/>
          </w:tcPr>
          <w:p w:rsidR="00D24F66" w:rsidRPr="00D24F66" w:rsidRDefault="00D24F66">
            <w:pPr>
              <w:jc w:val="center"/>
              <w:rPr>
                <w:color w:val="000000"/>
                <w:sz w:val="22"/>
                <w:szCs w:val="22"/>
              </w:rPr>
            </w:pPr>
          </w:p>
        </w:tc>
        <w:tc>
          <w:tcPr>
            <w:tcW w:w="372" w:type="dxa"/>
            <w:gridSpan w:val="2"/>
            <w:tcBorders>
              <w:top w:val="nil"/>
              <w:left w:val="nil"/>
              <w:bottom w:val="nil"/>
              <w:right w:val="nil"/>
            </w:tcBorders>
            <w:shd w:val="clear" w:color="auto" w:fill="auto"/>
            <w:noWrap/>
            <w:vAlign w:val="bottom"/>
            <w:hideMark/>
          </w:tcPr>
          <w:p w:rsidR="00D24F66" w:rsidRPr="00D24F66" w:rsidRDefault="00D24F66">
            <w:pPr>
              <w:rPr>
                <w:color w:val="000000"/>
                <w:sz w:val="22"/>
                <w:szCs w:val="22"/>
              </w:rPr>
            </w:pPr>
          </w:p>
        </w:tc>
        <w:tc>
          <w:tcPr>
            <w:tcW w:w="2549" w:type="dxa"/>
            <w:tcBorders>
              <w:top w:val="nil"/>
              <w:left w:val="nil"/>
              <w:bottom w:val="nil"/>
              <w:right w:val="nil"/>
            </w:tcBorders>
            <w:shd w:val="clear" w:color="auto" w:fill="auto"/>
            <w:noWrap/>
            <w:vAlign w:val="bottom"/>
            <w:hideMark/>
          </w:tcPr>
          <w:p w:rsidR="00D24F66" w:rsidRPr="00D24F66" w:rsidRDefault="00D24F66">
            <w:pPr>
              <w:rPr>
                <w:color w:val="000000"/>
                <w:sz w:val="22"/>
                <w:szCs w:val="22"/>
              </w:rPr>
            </w:pPr>
          </w:p>
        </w:tc>
        <w:tc>
          <w:tcPr>
            <w:tcW w:w="1703" w:type="dxa"/>
            <w:gridSpan w:val="3"/>
            <w:tcBorders>
              <w:top w:val="nil"/>
              <w:left w:val="nil"/>
              <w:bottom w:val="nil"/>
              <w:right w:val="nil"/>
            </w:tcBorders>
            <w:shd w:val="clear" w:color="auto" w:fill="auto"/>
            <w:noWrap/>
            <w:vAlign w:val="bottom"/>
            <w:hideMark/>
          </w:tcPr>
          <w:p w:rsidR="00D24F66" w:rsidRPr="00D24F66" w:rsidRDefault="00D24F66">
            <w:pPr>
              <w:jc w:val="center"/>
              <w:rPr>
                <w:color w:val="000000"/>
                <w:sz w:val="22"/>
                <w:szCs w:val="22"/>
              </w:rPr>
            </w:pPr>
          </w:p>
        </w:tc>
      </w:tr>
      <w:tr w:rsidR="00D24F66" w:rsidRPr="00D24F66" w:rsidTr="00D24F66">
        <w:trPr>
          <w:trHeight w:val="315"/>
        </w:trPr>
        <w:tc>
          <w:tcPr>
            <w:tcW w:w="9087" w:type="dxa"/>
            <w:gridSpan w:val="11"/>
            <w:tcBorders>
              <w:top w:val="nil"/>
              <w:left w:val="nil"/>
              <w:bottom w:val="nil"/>
              <w:right w:val="nil"/>
            </w:tcBorders>
            <w:shd w:val="clear" w:color="auto" w:fill="auto"/>
            <w:noWrap/>
            <w:vAlign w:val="bottom"/>
            <w:hideMark/>
          </w:tcPr>
          <w:p w:rsidR="00D24F66" w:rsidRPr="00D24F66" w:rsidRDefault="00D24F66">
            <w:pPr>
              <w:jc w:val="center"/>
              <w:rPr>
                <w:b/>
                <w:bCs/>
                <w:color w:val="000000"/>
                <w:sz w:val="22"/>
                <w:szCs w:val="22"/>
              </w:rPr>
            </w:pPr>
          </w:p>
        </w:tc>
      </w:tr>
      <w:tr w:rsidR="00D24F66" w:rsidRPr="00D24F66" w:rsidTr="00D24F66">
        <w:trPr>
          <w:trHeight w:val="315"/>
        </w:trPr>
        <w:tc>
          <w:tcPr>
            <w:tcW w:w="338" w:type="dxa"/>
            <w:tcBorders>
              <w:top w:val="nil"/>
              <w:left w:val="nil"/>
              <w:bottom w:val="nil"/>
              <w:right w:val="nil"/>
            </w:tcBorders>
            <w:shd w:val="clear" w:color="auto" w:fill="auto"/>
            <w:noWrap/>
            <w:vAlign w:val="bottom"/>
            <w:hideMark/>
          </w:tcPr>
          <w:p w:rsidR="00D24F66" w:rsidRPr="00D24F66" w:rsidRDefault="00D24F66">
            <w:pPr>
              <w:jc w:val="center"/>
              <w:rPr>
                <w:b/>
                <w:bCs/>
                <w:color w:val="000000"/>
                <w:sz w:val="22"/>
                <w:szCs w:val="22"/>
              </w:rPr>
            </w:pPr>
          </w:p>
        </w:tc>
        <w:tc>
          <w:tcPr>
            <w:tcW w:w="2578" w:type="dxa"/>
            <w:tcBorders>
              <w:top w:val="nil"/>
              <w:left w:val="nil"/>
              <w:bottom w:val="nil"/>
              <w:right w:val="nil"/>
            </w:tcBorders>
            <w:shd w:val="clear" w:color="auto" w:fill="auto"/>
            <w:noWrap/>
            <w:vAlign w:val="bottom"/>
            <w:hideMark/>
          </w:tcPr>
          <w:p w:rsidR="00D24F66" w:rsidRPr="00D24F66" w:rsidRDefault="00D24F66">
            <w:pPr>
              <w:jc w:val="center"/>
              <w:rPr>
                <w:b/>
                <w:bCs/>
                <w:color w:val="000000"/>
                <w:sz w:val="22"/>
                <w:szCs w:val="22"/>
              </w:rPr>
            </w:pPr>
          </w:p>
        </w:tc>
        <w:tc>
          <w:tcPr>
            <w:tcW w:w="1107" w:type="dxa"/>
            <w:gridSpan w:val="2"/>
            <w:tcBorders>
              <w:top w:val="nil"/>
              <w:left w:val="nil"/>
              <w:bottom w:val="nil"/>
              <w:right w:val="nil"/>
            </w:tcBorders>
            <w:shd w:val="clear" w:color="auto" w:fill="auto"/>
            <w:noWrap/>
            <w:vAlign w:val="bottom"/>
            <w:hideMark/>
          </w:tcPr>
          <w:p w:rsidR="00D24F66" w:rsidRPr="00D24F66" w:rsidRDefault="00D24F66">
            <w:pPr>
              <w:jc w:val="center"/>
              <w:rPr>
                <w:b/>
                <w:bCs/>
                <w:color w:val="000000"/>
                <w:sz w:val="22"/>
                <w:szCs w:val="22"/>
              </w:rPr>
            </w:pPr>
          </w:p>
        </w:tc>
        <w:tc>
          <w:tcPr>
            <w:tcW w:w="440" w:type="dxa"/>
            <w:tcBorders>
              <w:top w:val="nil"/>
              <w:left w:val="nil"/>
              <w:bottom w:val="nil"/>
              <w:right w:val="nil"/>
            </w:tcBorders>
            <w:shd w:val="clear" w:color="auto" w:fill="auto"/>
            <w:noWrap/>
            <w:vAlign w:val="bottom"/>
            <w:hideMark/>
          </w:tcPr>
          <w:p w:rsidR="00D24F66" w:rsidRPr="00D24F66" w:rsidRDefault="00D24F66">
            <w:pPr>
              <w:jc w:val="center"/>
              <w:rPr>
                <w:b/>
                <w:bCs/>
                <w:color w:val="000000"/>
                <w:sz w:val="22"/>
                <w:szCs w:val="22"/>
              </w:rPr>
            </w:pPr>
          </w:p>
        </w:tc>
        <w:tc>
          <w:tcPr>
            <w:tcW w:w="2921" w:type="dxa"/>
            <w:gridSpan w:val="3"/>
            <w:tcBorders>
              <w:top w:val="nil"/>
              <w:left w:val="nil"/>
              <w:bottom w:val="nil"/>
              <w:right w:val="nil"/>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2017.gada SEPTEMBRIS</w:t>
            </w:r>
          </w:p>
        </w:tc>
        <w:tc>
          <w:tcPr>
            <w:tcW w:w="1703" w:type="dxa"/>
            <w:gridSpan w:val="3"/>
            <w:tcBorders>
              <w:top w:val="nil"/>
              <w:left w:val="nil"/>
              <w:bottom w:val="nil"/>
              <w:right w:val="nil"/>
            </w:tcBorders>
            <w:shd w:val="clear" w:color="auto" w:fill="auto"/>
            <w:noWrap/>
            <w:vAlign w:val="bottom"/>
            <w:hideMark/>
          </w:tcPr>
          <w:p w:rsidR="00D24F66" w:rsidRPr="00D24F66" w:rsidRDefault="00D24F66">
            <w:pPr>
              <w:rPr>
                <w:b/>
                <w:bCs/>
                <w:color w:val="000000"/>
                <w:sz w:val="22"/>
                <w:szCs w:val="22"/>
              </w:rPr>
            </w:pPr>
          </w:p>
        </w:tc>
      </w:tr>
      <w:tr w:rsidR="00D24F66" w:rsidRPr="00D24F66" w:rsidTr="00D24F66">
        <w:trPr>
          <w:trHeight w:val="315"/>
        </w:trPr>
        <w:tc>
          <w:tcPr>
            <w:tcW w:w="40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IEŅĒMUMI</w:t>
            </w:r>
          </w:p>
        </w:tc>
        <w:tc>
          <w:tcPr>
            <w:tcW w:w="5064" w:type="dxa"/>
            <w:gridSpan w:val="7"/>
            <w:tcBorders>
              <w:top w:val="single" w:sz="4" w:space="0" w:color="auto"/>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IZDEVUMI</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 </w:t>
            </w:r>
          </w:p>
        </w:tc>
        <w:tc>
          <w:tcPr>
            <w:tcW w:w="2578" w:type="dxa"/>
            <w:tcBorders>
              <w:top w:val="nil"/>
              <w:left w:val="nil"/>
              <w:bottom w:val="single" w:sz="4" w:space="0" w:color="auto"/>
              <w:right w:val="single" w:sz="4" w:space="0" w:color="auto"/>
            </w:tcBorders>
            <w:shd w:val="clear" w:color="auto" w:fill="auto"/>
            <w:noWrap/>
            <w:vAlign w:val="center"/>
            <w:hideMark/>
          </w:tcPr>
          <w:p w:rsidR="00D24F66" w:rsidRPr="00D24F66" w:rsidRDefault="00D24F66">
            <w:pPr>
              <w:jc w:val="center"/>
              <w:rPr>
                <w:b/>
                <w:bCs/>
                <w:color w:val="000000"/>
                <w:sz w:val="22"/>
                <w:szCs w:val="22"/>
              </w:rPr>
            </w:pPr>
            <w:r w:rsidRPr="00D24F66">
              <w:rPr>
                <w:b/>
                <w:bCs/>
                <w:color w:val="000000"/>
                <w:sz w:val="22"/>
                <w:szCs w:val="22"/>
              </w:rPr>
              <w:t>Ieņēmums veids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D24F66" w:rsidRPr="00D24F66" w:rsidRDefault="00D24F66">
            <w:pPr>
              <w:jc w:val="center"/>
              <w:rPr>
                <w:b/>
                <w:bCs/>
                <w:color w:val="000000"/>
                <w:sz w:val="22"/>
                <w:szCs w:val="22"/>
              </w:rPr>
            </w:pPr>
            <w:r w:rsidRPr="00D24F66">
              <w:rPr>
                <w:b/>
                <w:bCs/>
                <w:color w:val="000000"/>
                <w:sz w:val="22"/>
                <w:szCs w:val="22"/>
              </w:rPr>
              <w:t>EUR</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 </w:t>
            </w:r>
          </w:p>
        </w:tc>
        <w:tc>
          <w:tcPr>
            <w:tcW w:w="2921" w:type="dxa"/>
            <w:gridSpan w:val="3"/>
            <w:tcBorders>
              <w:top w:val="nil"/>
              <w:left w:val="nil"/>
              <w:bottom w:val="single" w:sz="4" w:space="0" w:color="auto"/>
              <w:right w:val="single" w:sz="4" w:space="0" w:color="auto"/>
            </w:tcBorders>
            <w:shd w:val="clear" w:color="auto" w:fill="auto"/>
            <w:noWrap/>
            <w:vAlign w:val="center"/>
            <w:hideMark/>
          </w:tcPr>
          <w:p w:rsidR="00D24F66" w:rsidRPr="00D24F66" w:rsidRDefault="00D24F66">
            <w:pPr>
              <w:jc w:val="center"/>
              <w:rPr>
                <w:b/>
                <w:bCs/>
                <w:color w:val="000000"/>
                <w:sz w:val="22"/>
                <w:szCs w:val="22"/>
              </w:rPr>
            </w:pPr>
            <w:r w:rsidRPr="00D24F66">
              <w:rPr>
                <w:b/>
                <w:bCs/>
                <w:color w:val="000000"/>
                <w:sz w:val="22"/>
                <w:szCs w:val="22"/>
              </w:rPr>
              <w:t>Izdevuma veids</w:t>
            </w:r>
          </w:p>
        </w:tc>
        <w:tc>
          <w:tcPr>
            <w:tcW w:w="1703" w:type="dxa"/>
            <w:gridSpan w:val="3"/>
            <w:tcBorders>
              <w:top w:val="nil"/>
              <w:left w:val="nil"/>
              <w:bottom w:val="single" w:sz="4" w:space="0" w:color="auto"/>
              <w:right w:val="single" w:sz="4" w:space="0" w:color="auto"/>
            </w:tcBorders>
            <w:shd w:val="clear" w:color="auto" w:fill="auto"/>
            <w:noWrap/>
            <w:vAlign w:val="center"/>
            <w:hideMark/>
          </w:tcPr>
          <w:p w:rsidR="00D24F66" w:rsidRPr="00D24F66" w:rsidRDefault="00D24F66">
            <w:pPr>
              <w:jc w:val="center"/>
              <w:rPr>
                <w:b/>
                <w:bCs/>
                <w:color w:val="000000"/>
                <w:sz w:val="22"/>
                <w:szCs w:val="22"/>
              </w:rPr>
            </w:pPr>
            <w:r w:rsidRPr="00D24F66">
              <w:rPr>
                <w:b/>
                <w:bCs/>
                <w:color w:val="000000"/>
                <w:sz w:val="22"/>
                <w:szCs w:val="22"/>
              </w:rPr>
              <w:t>EUR</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Elektrība Parka -18</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2 717.96</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Maksa par gāzi</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7 486.00</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2</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Siltums juridiskām pers.</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1 409.33</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2</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Darba alga + nodokļi</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375.61</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Siltums fiziskām pers.</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1 994.91</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Administrācijas d/a + nod.</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410.00</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4</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Ūdens uzsildīšana</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3 506.79</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4</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Maksa par elektrību</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162.30</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right"/>
              <w:rPr>
                <w:color w:val="000000"/>
                <w:sz w:val="22"/>
                <w:szCs w:val="22"/>
              </w:rPr>
            </w:pPr>
            <w:r w:rsidRPr="00D24F66">
              <w:rPr>
                <w:color w:val="000000"/>
                <w:sz w:val="22"/>
                <w:szCs w:val="22"/>
              </w:rPr>
              <w:t>Kopā</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9 628.99</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5</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SIA "MRK Serviss "</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391.19</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6</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xml:space="preserve">Sakaru </w:t>
            </w:r>
            <w:proofErr w:type="spellStart"/>
            <w:r w:rsidRPr="00D24F66">
              <w:rPr>
                <w:color w:val="000000"/>
                <w:sz w:val="22"/>
                <w:szCs w:val="22"/>
              </w:rPr>
              <w:t>pakaplojumi</w:t>
            </w:r>
            <w:proofErr w:type="spellEnd"/>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30.18</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Tīklā ienākušais siltums</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7</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xml:space="preserve">6 %  no elektrības P-18 </w:t>
            </w:r>
            <w:proofErr w:type="spellStart"/>
            <w:r w:rsidRPr="00D24F66">
              <w:rPr>
                <w:color w:val="000000"/>
                <w:sz w:val="22"/>
                <w:szCs w:val="22"/>
              </w:rPr>
              <w:t>ieņ</w:t>
            </w:r>
            <w:proofErr w:type="spellEnd"/>
            <w:r w:rsidRPr="00D24F66">
              <w:rPr>
                <w:color w:val="000000"/>
                <w:sz w:val="22"/>
                <w:szCs w:val="22"/>
              </w:rPr>
              <w:t>.</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163.08</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right"/>
              <w:rPr>
                <w:color w:val="000000"/>
                <w:sz w:val="22"/>
                <w:szCs w:val="22"/>
              </w:rPr>
            </w:pPr>
            <w:r w:rsidRPr="00D24F66">
              <w:rPr>
                <w:color w:val="000000"/>
                <w:sz w:val="22"/>
                <w:szCs w:val="22"/>
              </w:rPr>
              <w:t>no Parka - 27</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-2 926.00</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right"/>
              <w:rPr>
                <w:b/>
                <w:bCs/>
                <w:color w:val="000000"/>
                <w:sz w:val="22"/>
                <w:szCs w:val="22"/>
              </w:rPr>
            </w:pPr>
            <w:r w:rsidRPr="00D24F66">
              <w:rPr>
                <w:b/>
                <w:bCs/>
                <w:color w:val="000000"/>
                <w:sz w:val="22"/>
                <w:szCs w:val="22"/>
              </w:rPr>
              <w:t>Summa</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6 702.99</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right"/>
              <w:rPr>
                <w:b/>
                <w:bCs/>
                <w:color w:val="000000"/>
                <w:sz w:val="22"/>
                <w:szCs w:val="22"/>
              </w:rPr>
            </w:pPr>
            <w:r w:rsidRPr="00D24F66">
              <w:rPr>
                <w:b/>
                <w:bCs/>
                <w:color w:val="000000"/>
                <w:sz w:val="22"/>
                <w:szCs w:val="22"/>
              </w:rPr>
              <w:t>Summa</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9 018.36</w:t>
            </w:r>
          </w:p>
        </w:tc>
      </w:tr>
      <w:tr w:rsidR="00D24F66" w:rsidRPr="00D24F66" w:rsidTr="00D24F66">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w:t>
            </w:r>
          </w:p>
        </w:tc>
        <w:tc>
          <w:tcPr>
            <w:tcW w:w="2578"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rPr>
                <w:color w:val="000000"/>
                <w:sz w:val="22"/>
                <w:szCs w:val="22"/>
              </w:rPr>
            </w:pPr>
            <w:r w:rsidRPr="00D24F66">
              <w:rPr>
                <w:color w:val="000000"/>
                <w:sz w:val="22"/>
                <w:szCs w:val="22"/>
              </w:rPr>
              <w:t> </w:t>
            </w:r>
          </w:p>
        </w:tc>
        <w:tc>
          <w:tcPr>
            <w:tcW w:w="1107" w:type="dxa"/>
            <w:gridSpan w:val="2"/>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440" w:type="dxa"/>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color w:val="000000"/>
                <w:sz w:val="22"/>
                <w:szCs w:val="22"/>
              </w:rPr>
            </w:pPr>
            <w:r w:rsidRPr="00D24F66">
              <w:rPr>
                <w:color w:val="000000"/>
                <w:sz w:val="22"/>
                <w:szCs w:val="22"/>
              </w:rPr>
              <w:t> </w:t>
            </w:r>
          </w:p>
        </w:tc>
        <w:tc>
          <w:tcPr>
            <w:tcW w:w="2921"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REZULTĀTS</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D24F66" w:rsidRPr="00D24F66" w:rsidRDefault="00D24F66">
            <w:pPr>
              <w:jc w:val="center"/>
              <w:rPr>
                <w:b/>
                <w:bCs/>
                <w:color w:val="000000"/>
                <w:sz w:val="22"/>
                <w:szCs w:val="22"/>
              </w:rPr>
            </w:pPr>
            <w:r w:rsidRPr="00D24F66">
              <w:rPr>
                <w:b/>
                <w:bCs/>
                <w:color w:val="000000"/>
                <w:sz w:val="22"/>
                <w:szCs w:val="22"/>
              </w:rPr>
              <w:t>-2 315.37</w:t>
            </w:r>
          </w:p>
        </w:tc>
      </w:tr>
    </w:tbl>
    <w:p w:rsidR="00D24F66" w:rsidRPr="00D24F66" w:rsidRDefault="00D24F66" w:rsidP="00D24F66">
      <w:pPr>
        <w:jc w:val="both"/>
        <w:rPr>
          <w:color w:val="000000" w:themeColor="text1"/>
          <w:sz w:val="22"/>
          <w:szCs w:val="22"/>
        </w:rPr>
      </w:pPr>
    </w:p>
    <w:p w:rsidR="00D2016E" w:rsidRDefault="00D2016E" w:rsidP="00460AEC">
      <w:pPr>
        <w:ind w:firstLine="432"/>
        <w:jc w:val="both"/>
        <w:rPr>
          <w:color w:val="000000" w:themeColor="text1"/>
        </w:rPr>
      </w:pPr>
      <w:r w:rsidRPr="00FE209D">
        <w:rPr>
          <w:color w:val="000000" w:themeColor="text1"/>
        </w:rPr>
        <w:t>Ņemot vērā iepriekš m</w:t>
      </w:r>
      <w:r>
        <w:rPr>
          <w:color w:val="000000" w:themeColor="text1"/>
        </w:rPr>
        <w:t>inētos apstākļus, kas</w:t>
      </w:r>
      <w:r w:rsidRPr="00FE209D">
        <w:rPr>
          <w:color w:val="000000" w:themeColor="text1"/>
        </w:rPr>
        <w:t xml:space="preserve"> ietekmējuši uzņēmuma kopējos ieņēmumus</w:t>
      </w:r>
      <w:r>
        <w:rPr>
          <w:color w:val="000000" w:themeColor="text1"/>
        </w:rPr>
        <w:t>,</w:t>
      </w:r>
      <w:r w:rsidRPr="00FE209D">
        <w:rPr>
          <w:color w:val="000000" w:themeColor="text1"/>
        </w:rPr>
        <w:t xml:space="preserve"> 2017.gadā prognozētie</w:t>
      </w:r>
      <w:r>
        <w:rPr>
          <w:color w:val="000000" w:themeColor="text1"/>
        </w:rPr>
        <w:t xml:space="preserve"> uzņēmuma ieņēmumi no elektroenerģijas</w:t>
      </w:r>
      <w:r w:rsidRPr="00FE209D">
        <w:rPr>
          <w:color w:val="000000" w:themeColor="text1"/>
        </w:rPr>
        <w:t xml:space="preserve"> ražošana</w:t>
      </w:r>
      <w:r>
        <w:rPr>
          <w:color w:val="000000" w:themeColor="text1"/>
        </w:rPr>
        <w:t>s koģenerācijas režīmā sastādīs</w:t>
      </w:r>
      <w:r w:rsidRPr="00FE209D">
        <w:rPr>
          <w:color w:val="000000" w:themeColor="text1"/>
        </w:rPr>
        <w:t xml:space="preserve"> 198948 EUR, kas sas</w:t>
      </w:r>
      <w:r>
        <w:rPr>
          <w:color w:val="000000" w:themeColor="text1"/>
        </w:rPr>
        <w:t>tāda 20.6 procentus no kopējiem ieņēmumiem</w:t>
      </w:r>
      <w:r w:rsidRPr="00FE209D">
        <w:rPr>
          <w:color w:val="000000" w:themeColor="text1"/>
        </w:rPr>
        <w:t>.</w:t>
      </w:r>
      <w:r>
        <w:rPr>
          <w:color w:val="000000" w:themeColor="text1"/>
        </w:rPr>
        <w:t xml:space="preserve">  </w:t>
      </w:r>
    </w:p>
    <w:p w:rsidR="00D2016E" w:rsidRPr="00FE209D" w:rsidRDefault="00D2016E" w:rsidP="00460AEC">
      <w:pPr>
        <w:ind w:firstLine="432"/>
        <w:jc w:val="both"/>
      </w:pPr>
      <w:r>
        <w:rPr>
          <w:color w:val="000000" w:themeColor="text1"/>
        </w:rPr>
        <w:t xml:space="preserve">Koģenerācijas stacijas Parka ielā 27, Koknesē, saražotās elektroenerģijas obligātā iepirkuma ietvaros iepirkums, saskaņā ar </w:t>
      </w:r>
      <w:r w:rsidRPr="00FE209D">
        <w:t>2009.gada 10.marta Ministru kabineta noteikumiem Nr.221, beigsies 2019.gada 18.martā.</w:t>
      </w:r>
    </w:p>
    <w:p w:rsidR="00D2016E" w:rsidRDefault="00D2016E" w:rsidP="00460AEC">
      <w:pPr>
        <w:ind w:firstLine="432"/>
        <w:jc w:val="both"/>
        <w:rPr>
          <w:color w:val="000000" w:themeColor="text1"/>
        </w:rPr>
      </w:pPr>
      <w:r w:rsidRPr="00FE209D">
        <w:rPr>
          <w:color w:val="000000" w:themeColor="text1"/>
        </w:rPr>
        <w:t>2018</w:t>
      </w:r>
      <w:r>
        <w:rPr>
          <w:color w:val="000000" w:themeColor="text1"/>
        </w:rPr>
        <w:t>.gadā darbinot tikai vienu nomāto</w:t>
      </w:r>
      <w:r w:rsidRPr="00FE209D">
        <w:rPr>
          <w:color w:val="000000" w:themeColor="text1"/>
        </w:rPr>
        <w:t xml:space="preserve"> koģenerācijas</w:t>
      </w:r>
      <w:r>
        <w:rPr>
          <w:color w:val="000000" w:themeColor="text1"/>
        </w:rPr>
        <w:t xml:space="preserve"> iekārtu Parka iela 27, Koknesē </w:t>
      </w:r>
      <w:r w:rsidRPr="00FE209D">
        <w:rPr>
          <w:color w:val="000000" w:themeColor="text1"/>
        </w:rPr>
        <w:t xml:space="preserve"> ieņēmumi no elektroenerģijas ražošanas plānoti 82828 EUR, t.i</w:t>
      </w:r>
      <w:r w:rsidR="003D34A0">
        <w:rPr>
          <w:color w:val="000000" w:themeColor="text1"/>
        </w:rPr>
        <w:t>.,</w:t>
      </w:r>
      <w:r w:rsidRPr="00FE209D">
        <w:rPr>
          <w:color w:val="000000" w:themeColor="text1"/>
        </w:rPr>
        <w:t xml:space="preserve"> 5.07%. Savukārt 2019.gadā ieņēmumi no elektroenerģijas ražošanas nomas koģenerācijas iekārtā plānoti 15300 EUR, kas sastāda 2.11%, jo minētās koģenerācijas iekārtas darbība spēkā ir līdz 2019.gada 18.martam.</w:t>
      </w:r>
    </w:p>
    <w:p w:rsidR="00D2016E" w:rsidRDefault="00D2016E" w:rsidP="00460AEC">
      <w:pPr>
        <w:ind w:firstLine="432"/>
        <w:jc w:val="both"/>
        <w:rPr>
          <w:color w:val="000000" w:themeColor="text1"/>
        </w:rPr>
      </w:pPr>
      <w:r>
        <w:rPr>
          <w:color w:val="000000" w:themeColor="text1"/>
        </w:rPr>
        <w:t xml:space="preserve">Lai nodrošinātu karstā ūdens piegādi daudzdzīvokļu māju iedzīvotājiem un citiem patērētājiem, ir nepieciešams iegādāties apkures ūdens sildāmo katlu ar jaudu 650 </w:t>
      </w:r>
      <w:proofErr w:type="spellStart"/>
      <w:r>
        <w:rPr>
          <w:color w:val="000000" w:themeColor="text1"/>
        </w:rPr>
        <w:t>kW</w:t>
      </w:r>
      <w:proofErr w:type="spellEnd"/>
      <w:r>
        <w:rPr>
          <w:color w:val="000000" w:themeColor="text1"/>
        </w:rPr>
        <w:t>.</w:t>
      </w:r>
      <w:r w:rsidR="003D34A0">
        <w:rPr>
          <w:color w:val="000000" w:themeColor="text1"/>
        </w:rPr>
        <w:t xml:space="preserve"> Ūdenssildāmā k</w:t>
      </w:r>
      <w:r>
        <w:rPr>
          <w:color w:val="000000" w:themeColor="text1"/>
        </w:rPr>
        <w:t xml:space="preserve">atla iegādei un uzstādīšanai nepieciešamo finanšu līdzekļu uzņēmumam nav. </w:t>
      </w:r>
    </w:p>
    <w:p w:rsidR="00D2016E" w:rsidRDefault="00D2016E" w:rsidP="00460AEC">
      <w:pPr>
        <w:ind w:firstLine="432"/>
        <w:jc w:val="both"/>
        <w:rPr>
          <w:color w:val="000000" w:themeColor="text1"/>
        </w:rPr>
      </w:pPr>
      <w:r>
        <w:rPr>
          <w:color w:val="000000" w:themeColor="text1"/>
        </w:rPr>
        <w:t xml:space="preserve">Laika periodā līdz 2017./2018.gada apkures sezonas beigām ir nepieciešams atrast finansējumu </w:t>
      </w:r>
      <w:r w:rsidR="003D34A0">
        <w:rPr>
          <w:color w:val="000000" w:themeColor="text1"/>
        </w:rPr>
        <w:t xml:space="preserve">ūdenssildāmā </w:t>
      </w:r>
      <w:r>
        <w:rPr>
          <w:color w:val="000000" w:themeColor="text1"/>
        </w:rPr>
        <w:t>katla iegādei un šo katlu uzstādīt.</w:t>
      </w:r>
    </w:p>
    <w:p w:rsidR="00D2016E" w:rsidRDefault="00D2016E" w:rsidP="00460AEC">
      <w:pPr>
        <w:ind w:firstLine="432"/>
        <w:jc w:val="both"/>
        <w:rPr>
          <w:color w:val="000000" w:themeColor="text1"/>
        </w:rPr>
      </w:pPr>
      <w:r>
        <w:rPr>
          <w:color w:val="000000" w:themeColor="text1"/>
        </w:rPr>
        <w:t>Siltumenerģijas tarifu 2017./2018.gada apkures sezonā nav plānots palielināt.</w:t>
      </w:r>
    </w:p>
    <w:p w:rsidR="00D2016E" w:rsidRDefault="00D2016E">
      <w:pPr>
        <w:rPr>
          <w:b/>
          <w:bCs/>
          <w:iCs/>
          <w:sz w:val="28"/>
          <w:szCs w:val="28"/>
        </w:rPr>
      </w:pPr>
    </w:p>
    <w:p w:rsidR="005527C2" w:rsidRDefault="005527C2">
      <w:pPr>
        <w:rPr>
          <w:b/>
          <w:bCs/>
          <w:iCs/>
          <w:sz w:val="28"/>
          <w:szCs w:val="28"/>
        </w:rPr>
      </w:pPr>
    </w:p>
    <w:p w:rsidR="005527C2" w:rsidRDefault="005527C2">
      <w:pPr>
        <w:rPr>
          <w:b/>
          <w:bCs/>
          <w:iCs/>
          <w:sz w:val="28"/>
          <w:szCs w:val="28"/>
        </w:rPr>
      </w:pPr>
      <w:r>
        <w:rPr>
          <w:b/>
          <w:bCs/>
          <w:iCs/>
          <w:sz w:val="28"/>
          <w:szCs w:val="28"/>
        </w:rPr>
        <w:br w:type="page"/>
      </w:r>
    </w:p>
    <w:p w:rsidR="007E5EA5" w:rsidRPr="00920C23" w:rsidRDefault="007E5EA5" w:rsidP="00D2016E">
      <w:pPr>
        <w:pStyle w:val="Virsraksts1"/>
      </w:pPr>
      <w:bookmarkStart w:id="1" w:name="_Toc443373779"/>
      <w:bookmarkStart w:id="2" w:name="_Toc498420723"/>
      <w:r w:rsidRPr="00D2016E">
        <w:rPr>
          <w:i/>
        </w:rPr>
        <w:lastRenderedPageBreak/>
        <w:t>Uzņēmuma</w:t>
      </w:r>
      <w:r w:rsidRPr="00920C23">
        <w:t xml:space="preserve"> ieņēmumu/izdevumu struktūra</w:t>
      </w:r>
      <w:bookmarkEnd w:id="1"/>
      <w:bookmarkEnd w:id="2"/>
    </w:p>
    <w:p w:rsidR="002F1CD8" w:rsidRDefault="002F1CD8" w:rsidP="00A86FE8">
      <w:pPr>
        <w:pStyle w:val="Nodala"/>
        <w:spacing w:after="0"/>
        <w:jc w:val="left"/>
        <w:rPr>
          <w:sz w:val="24"/>
          <w:szCs w:val="24"/>
        </w:rPr>
      </w:pPr>
      <w:bookmarkStart w:id="3" w:name="_Toc443373780"/>
    </w:p>
    <w:p w:rsidR="007E5EA5" w:rsidRPr="00920C23" w:rsidRDefault="006747D5" w:rsidP="00BF54D7">
      <w:pPr>
        <w:pStyle w:val="Virsraksts2"/>
      </w:pPr>
      <w:bookmarkStart w:id="4" w:name="_Toc498420724"/>
      <w:r w:rsidRPr="00920C23">
        <w:t>Ieņēmumu struktūra</w:t>
      </w:r>
      <w:bookmarkEnd w:id="3"/>
      <w:bookmarkEnd w:id="4"/>
    </w:p>
    <w:p w:rsidR="000779DF" w:rsidRPr="00920C23" w:rsidRDefault="000779DF" w:rsidP="000E4255">
      <w:pPr>
        <w:ind w:firstLine="720"/>
        <w:jc w:val="both"/>
      </w:pPr>
      <w:r w:rsidRPr="00920C23">
        <w:rPr>
          <w:i/>
        </w:rPr>
        <w:t>Uzņēmuma</w:t>
      </w:r>
      <w:r w:rsidRPr="00920C23">
        <w:t xml:space="preserve"> ieņēmumi veidojas</w:t>
      </w:r>
      <w:r w:rsidR="000E4255" w:rsidRPr="00920C23">
        <w:t xml:space="preserve"> no</w:t>
      </w:r>
      <w:r w:rsidRPr="00920C23">
        <w:t>:</w:t>
      </w:r>
    </w:p>
    <w:p w:rsidR="00503303" w:rsidRPr="00920C23" w:rsidRDefault="00503303" w:rsidP="00011C91">
      <w:pPr>
        <w:numPr>
          <w:ilvl w:val="1"/>
          <w:numId w:val="9"/>
        </w:numPr>
        <w:jc w:val="both"/>
      </w:pPr>
      <w:r w:rsidRPr="00920C23">
        <w:t>siltum</w:t>
      </w:r>
      <w:r w:rsidR="003F1728" w:rsidRPr="00920C23">
        <w:t>enerģijas</w:t>
      </w:r>
      <w:r w:rsidRPr="00920C23">
        <w:t xml:space="preserve"> ražošanas un piegādes</w:t>
      </w:r>
      <w:r w:rsidR="000650D6">
        <w:t>;</w:t>
      </w:r>
      <w:r w:rsidRPr="00920C23">
        <w:t xml:space="preserve"> </w:t>
      </w:r>
    </w:p>
    <w:p w:rsidR="000650D6" w:rsidRDefault="00503303" w:rsidP="00011C91">
      <w:pPr>
        <w:numPr>
          <w:ilvl w:val="1"/>
          <w:numId w:val="9"/>
        </w:numPr>
        <w:jc w:val="both"/>
      </w:pPr>
      <w:r w:rsidRPr="00920C23">
        <w:t xml:space="preserve">ūdens </w:t>
      </w:r>
      <w:r w:rsidR="000650D6">
        <w:t xml:space="preserve">ražošanas un </w:t>
      </w:r>
      <w:r w:rsidRPr="00920C23">
        <w:t>piegādes</w:t>
      </w:r>
      <w:r w:rsidR="000650D6">
        <w:t>;</w:t>
      </w:r>
      <w:r w:rsidRPr="00920C23">
        <w:t xml:space="preserve"> </w:t>
      </w:r>
    </w:p>
    <w:p w:rsidR="00503303" w:rsidRPr="00920C23" w:rsidRDefault="000650D6" w:rsidP="00011C91">
      <w:pPr>
        <w:numPr>
          <w:ilvl w:val="1"/>
          <w:numId w:val="9"/>
        </w:numPr>
        <w:jc w:val="both"/>
      </w:pPr>
      <w:r>
        <w:t xml:space="preserve">attīrīšanas un </w:t>
      </w:r>
      <w:r w:rsidR="00503303" w:rsidRPr="00920C23">
        <w:t>kanalizācijas pakalpojumiem;</w:t>
      </w:r>
    </w:p>
    <w:p w:rsidR="00D51F95" w:rsidRPr="00920C23" w:rsidRDefault="00503303" w:rsidP="00011C91">
      <w:pPr>
        <w:numPr>
          <w:ilvl w:val="1"/>
          <w:numId w:val="9"/>
        </w:numPr>
        <w:jc w:val="both"/>
      </w:pPr>
      <w:r w:rsidRPr="00920C23">
        <w:t>apsaimniekošanas</w:t>
      </w:r>
      <w:r w:rsidR="00D51F95" w:rsidRPr="00920C23">
        <w:t xml:space="preserve"> pakalpojumiem;</w:t>
      </w:r>
    </w:p>
    <w:p w:rsidR="00680BC9" w:rsidRPr="00920C23" w:rsidRDefault="00503303" w:rsidP="00011C91">
      <w:pPr>
        <w:numPr>
          <w:ilvl w:val="1"/>
          <w:numId w:val="9"/>
        </w:numPr>
        <w:jc w:val="both"/>
      </w:pPr>
      <w:r w:rsidRPr="00920C23">
        <w:t>elektrības ražošana</w:t>
      </w:r>
      <w:r w:rsidR="00ED2AB0" w:rsidRPr="00920C23">
        <w:t>s</w:t>
      </w:r>
      <w:r w:rsidR="00D51F95" w:rsidRPr="00920C23">
        <w:t xml:space="preserve"> ar</w:t>
      </w:r>
      <w:r w:rsidR="003F1728" w:rsidRPr="00920C23">
        <w:t xml:space="preserve"> </w:t>
      </w:r>
      <w:r w:rsidRPr="00920C23">
        <w:t>koģenerācij</w:t>
      </w:r>
      <w:r w:rsidR="00D51F95" w:rsidRPr="00920C23">
        <w:t>as</w:t>
      </w:r>
      <w:r w:rsidRPr="00920C23">
        <w:t xml:space="preserve"> iekārt</w:t>
      </w:r>
      <w:r w:rsidR="00D51F95" w:rsidRPr="00920C23">
        <w:t>ām</w:t>
      </w:r>
      <w:r w:rsidRPr="00920C23">
        <w:t>;</w:t>
      </w:r>
    </w:p>
    <w:p w:rsidR="00503303" w:rsidRPr="00920C23" w:rsidRDefault="00503303" w:rsidP="00011C91">
      <w:pPr>
        <w:numPr>
          <w:ilvl w:val="1"/>
          <w:numId w:val="9"/>
        </w:numPr>
        <w:jc w:val="both"/>
      </w:pPr>
      <w:r w:rsidRPr="00920C23">
        <w:t xml:space="preserve">pārējiem ieņēmumiem. </w:t>
      </w:r>
    </w:p>
    <w:p w:rsidR="00163052" w:rsidRPr="00920C23" w:rsidRDefault="000779DF" w:rsidP="00A86FE8">
      <w:pPr>
        <w:jc w:val="both"/>
      </w:pPr>
      <w:r w:rsidRPr="00920C23">
        <w:tab/>
      </w:r>
      <w:r w:rsidRPr="00920C23">
        <w:tab/>
      </w:r>
    </w:p>
    <w:p w:rsidR="002D41CE" w:rsidRPr="00920C23" w:rsidRDefault="00A86FE8" w:rsidP="00A86FE8">
      <w:pPr>
        <w:ind w:firstLine="720"/>
        <w:jc w:val="both"/>
      </w:pPr>
      <w:r w:rsidRPr="00920C23">
        <w:t>T</w:t>
      </w:r>
      <w:r w:rsidR="00163052" w:rsidRPr="00920C23">
        <w:t>abulā</w:t>
      </w:r>
      <w:r w:rsidR="00D51F95" w:rsidRPr="00920C23">
        <w:t xml:space="preserve"> ir attēlots </w:t>
      </w:r>
      <w:r w:rsidR="000E4255" w:rsidRPr="00920C23">
        <w:t>kopējais ieņēmumu apjoms</w:t>
      </w:r>
      <w:r w:rsidR="00D51F95" w:rsidRPr="00920C23">
        <w:t xml:space="preserve"> procentos. </w:t>
      </w:r>
      <w:r w:rsidR="005D2580" w:rsidRPr="00920C23">
        <w:rPr>
          <w:i/>
        </w:rPr>
        <w:t>Uz</w:t>
      </w:r>
      <w:r w:rsidR="00923A47" w:rsidRPr="00920C23">
        <w:rPr>
          <w:i/>
        </w:rPr>
        <w:t>ņ</w:t>
      </w:r>
      <w:r w:rsidR="005D2580" w:rsidRPr="00920C23">
        <w:rPr>
          <w:i/>
        </w:rPr>
        <w:t>ēmuma</w:t>
      </w:r>
      <w:r w:rsidR="005D2580" w:rsidRPr="00920C23">
        <w:t xml:space="preserve"> saimnieciskā darbībā gūtie i</w:t>
      </w:r>
      <w:r w:rsidR="00D51F95" w:rsidRPr="00920C23">
        <w:t>eņēmumi ir stabili</w:t>
      </w:r>
      <w:r w:rsidRPr="00920C23">
        <w:t>, un</w:t>
      </w:r>
      <w:r w:rsidR="00D51F95" w:rsidRPr="00920C23">
        <w:t xml:space="preserve"> lielāko</w:t>
      </w:r>
      <w:r w:rsidR="00163052" w:rsidRPr="00920C23">
        <w:t xml:space="preserve"> ieņēmumu</w:t>
      </w:r>
      <w:r w:rsidR="00D51F95" w:rsidRPr="00920C23">
        <w:t xml:space="preserve"> daļu</w:t>
      </w:r>
      <w:r w:rsidR="00163052" w:rsidRPr="00920C23">
        <w:t xml:space="preserve"> </w:t>
      </w:r>
      <w:r w:rsidR="00D51F95" w:rsidRPr="00920C23">
        <w:t xml:space="preserve">no </w:t>
      </w:r>
      <w:r w:rsidR="00D51F95" w:rsidRPr="00920C23">
        <w:rPr>
          <w:i/>
        </w:rPr>
        <w:t>Uzņēmuma</w:t>
      </w:r>
      <w:r w:rsidR="00E96A07" w:rsidRPr="00920C23">
        <w:t xml:space="preserve"> saimnieciskās darbības </w:t>
      </w:r>
      <w:r w:rsidR="00163052" w:rsidRPr="00920C23">
        <w:t>veido siltum</w:t>
      </w:r>
      <w:r w:rsidR="00D51F95" w:rsidRPr="00920C23">
        <w:t>enerģijas</w:t>
      </w:r>
      <w:r w:rsidR="00E96A07" w:rsidRPr="00920C23">
        <w:t xml:space="preserve"> un elektr</w:t>
      </w:r>
      <w:r w:rsidR="00D51F95" w:rsidRPr="00920C23">
        <w:t>oenerģijas</w:t>
      </w:r>
      <w:r w:rsidR="00CF2174" w:rsidRPr="00920C23">
        <w:t xml:space="preserve"> </w:t>
      </w:r>
      <w:r w:rsidR="00163052" w:rsidRPr="00920C23">
        <w:t>raž</w:t>
      </w:r>
      <w:r w:rsidR="00E96A07" w:rsidRPr="00920C23">
        <w:t>ošana</w:t>
      </w:r>
      <w:r w:rsidR="00D51F95" w:rsidRPr="00920C23">
        <w:t>.</w:t>
      </w:r>
    </w:p>
    <w:p w:rsidR="00370406" w:rsidRDefault="00370406" w:rsidP="00E7409F">
      <w:pPr>
        <w:jc w:val="center"/>
        <w:rPr>
          <w:b/>
        </w:rPr>
      </w:pPr>
    </w:p>
    <w:p w:rsidR="00ED1749" w:rsidRPr="00920C23" w:rsidRDefault="00ED1749" w:rsidP="00E7409F">
      <w:pPr>
        <w:jc w:val="center"/>
      </w:pPr>
      <w:r w:rsidRPr="00920C23">
        <w:rPr>
          <w:b/>
        </w:rPr>
        <w:t>Ieņēmumu struktūras analīze 201</w:t>
      </w:r>
      <w:r w:rsidR="00016193">
        <w:rPr>
          <w:b/>
        </w:rPr>
        <w:t>5</w:t>
      </w:r>
      <w:r w:rsidRPr="00920C23">
        <w:rPr>
          <w:b/>
        </w:rPr>
        <w:t>. un 201</w:t>
      </w:r>
      <w:r w:rsidR="00016193">
        <w:rPr>
          <w:b/>
        </w:rPr>
        <w:t>6</w:t>
      </w:r>
      <w:r w:rsidRPr="00920C23">
        <w:rPr>
          <w:b/>
        </w:rPr>
        <w:t>.gadā</w:t>
      </w:r>
      <w:r w:rsidR="00E7409F" w:rsidRPr="00920C23">
        <w:t xml:space="preserve"> </w:t>
      </w:r>
      <w:r w:rsidR="00503303" w:rsidRPr="00920C23">
        <w:t>(procentos)</w:t>
      </w:r>
    </w:p>
    <w:p w:rsidR="00E7409F" w:rsidRPr="00920C23" w:rsidRDefault="001074CE" w:rsidP="001074CE">
      <w:pPr>
        <w:jc w:val="right"/>
        <w:rPr>
          <w:sz w:val="20"/>
          <w:szCs w:val="20"/>
        </w:rPr>
      </w:pPr>
      <w:r w:rsidRPr="00920C23">
        <w:rPr>
          <w:sz w:val="20"/>
          <w:szCs w:val="20"/>
        </w:rPr>
        <w:t>tabula Nr.1</w:t>
      </w:r>
    </w:p>
    <w:tbl>
      <w:tblPr>
        <w:tblW w:w="9318" w:type="dxa"/>
        <w:jc w:val="center"/>
        <w:tblLook w:val="0000" w:firstRow="0" w:lastRow="0" w:firstColumn="0" w:lastColumn="0" w:noHBand="0" w:noVBand="0"/>
      </w:tblPr>
      <w:tblGrid>
        <w:gridCol w:w="6503"/>
        <w:gridCol w:w="1418"/>
        <w:gridCol w:w="1397"/>
      </w:tblGrid>
      <w:tr w:rsidR="0095600D" w:rsidRPr="00920C23" w:rsidTr="0095600D">
        <w:trPr>
          <w:trHeight w:val="255"/>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0D" w:rsidRPr="00920C23" w:rsidRDefault="0095600D" w:rsidP="0099698F">
            <w:pPr>
              <w:jc w:val="center"/>
              <w:rPr>
                <w:b/>
              </w:rPr>
            </w:pPr>
            <w:r>
              <w:rPr>
                <w:b/>
              </w:rPr>
              <w:t>Ieņēmumu veids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5600D">
            <w:pPr>
              <w:jc w:val="center"/>
              <w:rPr>
                <w:b/>
              </w:rPr>
            </w:pPr>
            <w:r w:rsidRPr="00920C23">
              <w:rPr>
                <w:b/>
              </w:rPr>
              <w:t>2015.g.</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5600D">
            <w:pPr>
              <w:jc w:val="center"/>
              <w:rPr>
                <w:b/>
              </w:rPr>
            </w:pPr>
            <w:r>
              <w:rPr>
                <w:b/>
              </w:rPr>
              <w:t>2016.g.</w:t>
            </w:r>
          </w:p>
        </w:tc>
      </w:tr>
      <w:tr w:rsidR="0095600D" w:rsidRPr="00920C23" w:rsidTr="0095600D">
        <w:trPr>
          <w:trHeight w:val="255"/>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0D" w:rsidRPr="00920C23" w:rsidRDefault="0095600D">
            <w:r w:rsidRPr="00920C23">
              <w:t>SILTUMS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5600D">
            <w:pPr>
              <w:jc w:val="right"/>
            </w:pPr>
            <w:r w:rsidRPr="00920C23">
              <w:t>3</w:t>
            </w:r>
            <w:r>
              <w:t>0.9</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73432C">
            <w:pPr>
              <w:jc w:val="right"/>
            </w:pPr>
            <w:r>
              <w:t>36.0</w:t>
            </w:r>
          </w:p>
        </w:tc>
      </w:tr>
      <w:tr w:rsidR="0095600D" w:rsidRPr="00920C23" w:rsidTr="0095600D">
        <w:trPr>
          <w:trHeight w:val="255"/>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0D" w:rsidRPr="00920C23" w:rsidRDefault="0095600D" w:rsidP="00AE6CC2">
            <w:r w:rsidRPr="00920C23">
              <w:t>ELEKTRĪBAS RAŽOŠANA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A2A2A">
            <w:pPr>
              <w:jc w:val="right"/>
            </w:pPr>
            <w:r w:rsidRPr="00920C23">
              <w:t>28.5</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780D27">
            <w:pPr>
              <w:jc w:val="right"/>
            </w:pPr>
            <w:r>
              <w:t>24.6</w:t>
            </w:r>
          </w:p>
        </w:tc>
      </w:tr>
      <w:tr w:rsidR="0095600D" w:rsidRPr="00920C23" w:rsidTr="0095600D">
        <w:trPr>
          <w:trHeight w:val="255"/>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0D" w:rsidRPr="00920C23" w:rsidRDefault="0095600D" w:rsidP="00AE6CC2">
            <w:r w:rsidRPr="00920C23">
              <w:t>APSAIMNIEKOŠANA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A2A2A">
            <w:pPr>
              <w:jc w:val="right"/>
            </w:pPr>
            <w:r w:rsidRPr="00920C23">
              <w:t>18.</w:t>
            </w:r>
            <w:r>
              <w:t>6</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780D27">
            <w:pPr>
              <w:jc w:val="right"/>
            </w:pPr>
            <w:r>
              <w:t>19.3</w:t>
            </w:r>
          </w:p>
        </w:tc>
      </w:tr>
      <w:tr w:rsidR="0095600D" w:rsidRPr="00920C23" w:rsidTr="0095600D">
        <w:trPr>
          <w:trHeight w:val="255"/>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0D" w:rsidRPr="00920C23" w:rsidRDefault="0095600D" w:rsidP="00AE6CC2">
            <w:r w:rsidRPr="00920C23">
              <w:t>KANALIZĀCIJA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5600D">
            <w:pPr>
              <w:jc w:val="right"/>
            </w:pPr>
            <w:r w:rsidRPr="00920C23">
              <w:t>7.</w:t>
            </w:r>
            <w:r>
              <w:t>5</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780D27">
            <w:pPr>
              <w:jc w:val="right"/>
            </w:pPr>
            <w:r>
              <w:t>6.8</w:t>
            </w:r>
          </w:p>
        </w:tc>
      </w:tr>
      <w:tr w:rsidR="0095600D" w:rsidRPr="00920C23" w:rsidTr="0095600D">
        <w:trPr>
          <w:trHeight w:val="255"/>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0D" w:rsidRPr="00920C23" w:rsidRDefault="0095600D" w:rsidP="00AE6CC2">
            <w:r w:rsidRPr="00920C23">
              <w:t>PĀRĒJIE IEŅĒMUMI (no blakus darbības)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A2A2A">
            <w:pPr>
              <w:jc w:val="right"/>
            </w:pPr>
            <w:r w:rsidRPr="00920C23">
              <w:t>7.1</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780D27">
            <w:pPr>
              <w:jc w:val="right"/>
            </w:pPr>
            <w:r>
              <w:t>6.3</w:t>
            </w:r>
          </w:p>
        </w:tc>
      </w:tr>
      <w:tr w:rsidR="0095600D" w:rsidRPr="00920C23" w:rsidTr="0095600D">
        <w:trPr>
          <w:trHeight w:val="255"/>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0D" w:rsidRPr="00920C23" w:rsidRDefault="0095600D" w:rsidP="00503303">
            <w:r w:rsidRPr="00920C23">
              <w:t>ŪDENS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5600D">
            <w:pPr>
              <w:jc w:val="right"/>
            </w:pPr>
            <w:r w:rsidRPr="00920C23">
              <w:t>4,</w:t>
            </w:r>
            <w:r>
              <w:t>5</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780D27">
            <w:pPr>
              <w:jc w:val="right"/>
            </w:pPr>
            <w:r>
              <w:t>4.2</w:t>
            </w:r>
          </w:p>
        </w:tc>
      </w:tr>
      <w:tr w:rsidR="0095600D" w:rsidRPr="00920C23" w:rsidTr="0095600D">
        <w:trPr>
          <w:trHeight w:val="255"/>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0D" w:rsidRPr="00920C23" w:rsidRDefault="0095600D" w:rsidP="00503303">
            <w:r w:rsidRPr="00920C23">
              <w:t>ATKRITUMI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A2A2A">
            <w:pPr>
              <w:jc w:val="right"/>
            </w:pPr>
            <w:r>
              <w:t>2.9</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780D27">
            <w:pPr>
              <w:jc w:val="right"/>
            </w:pPr>
            <w:r>
              <w:t>2.8</w:t>
            </w:r>
          </w:p>
        </w:tc>
      </w:tr>
      <w:tr w:rsidR="0095600D" w:rsidRPr="00920C23" w:rsidTr="0095600D">
        <w:trPr>
          <w:trHeight w:val="255"/>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00D" w:rsidRPr="00920C23" w:rsidRDefault="0095600D" w:rsidP="00E13B91">
            <w:pPr>
              <w:rPr>
                <w:b/>
              </w:rPr>
            </w:pPr>
            <w:r w:rsidRPr="00920C23">
              <w:rPr>
                <w:b/>
              </w:rPr>
              <w:t>IEŅĒMUMI KOPĀ</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9A2A2A">
            <w:pPr>
              <w:jc w:val="right"/>
              <w:rPr>
                <w:b/>
              </w:rPr>
            </w:pPr>
            <w:r w:rsidRPr="00920C23">
              <w:rPr>
                <w:b/>
              </w:rPr>
              <w:t>100</w:t>
            </w:r>
            <w:r>
              <w:rPr>
                <w:b/>
              </w:rPr>
              <w:t>.0</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95600D" w:rsidRPr="00920C23" w:rsidRDefault="0095600D" w:rsidP="00780D27">
            <w:pPr>
              <w:jc w:val="right"/>
              <w:rPr>
                <w:b/>
              </w:rPr>
            </w:pPr>
            <w:r w:rsidRPr="00920C23">
              <w:rPr>
                <w:b/>
              </w:rPr>
              <w:t>100</w:t>
            </w:r>
            <w:r>
              <w:rPr>
                <w:b/>
              </w:rPr>
              <w:t>.0</w:t>
            </w:r>
          </w:p>
        </w:tc>
      </w:tr>
      <w:tr w:rsidR="001B354A" w:rsidRPr="00920C23" w:rsidTr="0095600D">
        <w:trPr>
          <w:trHeight w:val="255"/>
          <w:jc w:val="center"/>
        </w:trPr>
        <w:tc>
          <w:tcPr>
            <w:tcW w:w="6503" w:type="dxa"/>
            <w:tcBorders>
              <w:top w:val="single" w:sz="4" w:space="0" w:color="auto"/>
            </w:tcBorders>
            <w:shd w:val="clear" w:color="auto" w:fill="auto"/>
            <w:noWrap/>
            <w:vAlign w:val="bottom"/>
          </w:tcPr>
          <w:p w:rsidR="00D05A07" w:rsidRPr="00920C23" w:rsidRDefault="00D05A07">
            <w:pPr>
              <w:rPr>
                <w:b/>
              </w:rPr>
            </w:pPr>
          </w:p>
        </w:tc>
        <w:tc>
          <w:tcPr>
            <w:tcW w:w="1418" w:type="dxa"/>
            <w:tcBorders>
              <w:top w:val="single" w:sz="4" w:space="0" w:color="auto"/>
            </w:tcBorders>
            <w:shd w:val="clear" w:color="auto" w:fill="auto"/>
            <w:noWrap/>
            <w:vAlign w:val="bottom"/>
          </w:tcPr>
          <w:p w:rsidR="001B354A" w:rsidRPr="00920C23" w:rsidRDefault="001B354A">
            <w:pPr>
              <w:jc w:val="right"/>
            </w:pPr>
          </w:p>
        </w:tc>
        <w:tc>
          <w:tcPr>
            <w:tcW w:w="1397" w:type="dxa"/>
            <w:tcBorders>
              <w:top w:val="single" w:sz="4" w:space="0" w:color="auto"/>
            </w:tcBorders>
            <w:shd w:val="clear" w:color="auto" w:fill="auto"/>
            <w:noWrap/>
            <w:vAlign w:val="bottom"/>
          </w:tcPr>
          <w:p w:rsidR="001B354A" w:rsidRPr="00920C23" w:rsidRDefault="001B354A">
            <w:pPr>
              <w:jc w:val="right"/>
            </w:pPr>
          </w:p>
        </w:tc>
      </w:tr>
    </w:tbl>
    <w:p w:rsidR="00016193" w:rsidRDefault="00016193" w:rsidP="00A86FE8">
      <w:pPr>
        <w:pStyle w:val="Nodala"/>
        <w:spacing w:after="0"/>
        <w:jc w:val="left"/>
        <w:rPr>
          <w:sz w:val="24"/>
          <w:szCs w:val="24"/>
        </w:rPr>
      </w:pPr>
      <w:bookmarkStart w:id="5" w:name="_Toc443373781"/>
    </w:p>
    <w:p w:rsidR="00016193" w:rsidRDefault="008173AB" w:rsidP="00A86FE8">
      <w:pPr>
        <w:pStyle w:val="Nodala"/>
        <w:spacing w:after="0"/>
        <w:jc w:val="left"/>
        <w:rPr>
          <w:sz w:val="24"/>
          <w:szCs w:val="24"/>
        </w:rPr>
      </w:pPr>
      <w:r w:rsidRPr="008173AB">
        <w:rPr>
          <w:noProof/>
          <w:sz w:val="24"/>
          <w:szCs w:val="24"/>
          <w:lang w:eastAsia="lv-LV"/>
        </w:rPr>
        <w:drawing>
          <wp:inline distT="0" distB="0" distL="0" distR="0">
            <wp:extent cx="5781675" cy="3219450"/>
            <wp:effectExtent l="1905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1D6A" w:rsidRDefault="005B1D6A" w:rsidP="00A86FE8">
      <w:pPr>
        <w:pStyle w:val="Nodala"/>
        <w:spacing w:after="0"/>
        <w:jc w:val="left"/>
        <w:rPr>
          <w:sz w:val="24"/>
          <w:szCs w:val="24"/>
        </w:rPr>
      </w:pPr>
    </w:p>
    <w:p w:rsidR="005527C2" w:rsidRDefault="005527C2" w:rsidP="00A86FE8">
      <w:pPr>
        <w:pStyle w:val="Nodala"/>
        <w:spacing w:after="0"/>
        <w:jc w:val="left"/>
        <w:rPr>
          <w:sz w:val="24"/>
          <w:szCs w:val="24"/>
        </w:rPr>
      </w:pPr>
    </w:p>
    <w:p w:rsidR="005527C2" w:rsidRDefault="005527C2" w:rsidP="00A86FE8">
      <w:pPr>
        <w:pStyle w:val="Nodala"/>
        <w:spacing w:after="0"/>
        <w:jc w:val="left"/>
        <w:rPr>
          <w:sz w:val="24"/>
          <w:szCs w:val="24"/>
        </w:rPr>
      </w:pPr>
    </w:p>
    <w:p w:rsidR="00163052" w:rsidRPr="00920C23" w:rsidRDefault="004B4FCF" w:rsidP="00BF54D7">
      <w:pPr>
        <w:pStyle w:val="Virsraksts2"/>
      </w:pPr>
      <w:bookmarkStart w:id="6" w:name="_Toc498420725"/>
      <w:r w:rsidRPr="00920C23">
        <w:lastRenderedPageBreak/>
        <w:t>Izdevumu struktūra</w:t>
      </w:r>
      <w:bookmarkEnd w:id="5"/>
      <w:bookmarkEnd w:id="6"/>
      <w:r w:rsidR="00E76683" w:rsidRPr="00920C23">
        <w:t xml:space="preserve"> </w:t>
      </w:r>
    </w:p>
    <w:p w:rsidR="004D6DA5" w:rsidRDefault="003A7E0F" w:rsidP="008922BA">
      <w:pPr>
        <w:pStyle w:val="Nodala"/>
        <w:spacing w:after="0"/>
        <w:ind w:firstLine="720"/>
        <w:jc w:val="both"/>
        <w:rPr>
          <w:b w:val="0"/>
          <w:sz w:val="24"/>
          <w:szCs w:val="24"/>
        </w:rPr>
      </w:pPr>
      <w:bookmarkStart w:id="7" w:name="_Toc443373782"/>
      <w:bookmarkStart w:id="8" w:name="_Toc354406600"/>
      <w:r w:rsidRPr="00920C23">
        <w:rPr>
          <w:b w:val="0"/>
          <w:i/>
          <w:sz w:val="24"/>
          <w:szCs w:val="24"/>
        </w:rPr>
        <w:t>Uzņēmuma</w:t>
      </w:r>
      <w:r w:rsidRPr="00920C23">
        <w:rPr>
          <w:b w:val="0"/>
          <w:sz w:val="24"/>
          <w:szCs w:val="24"/>
        </w:rPr>
        <w:t xml:space="preserve"> izdevumi, tāpat kā ieņēmumi tiek </w:t>
      </w:r>
      <w:r w:rsidR="00163052" w:rsidRPr="00920C23">
        <w:rPr>
          <w:b w:val="0"/>
          <w:sz w:val="24"/>
          <w:szCs w:val="24"/>
        </w:rPr>
        <w:t>sadalīti</w:t>
      </w:r>
      <w:r w:rsidRPr="00920C23">
        <w:rPr>
          <w:b w:val="0"/>
          <w:sz w:val="24"/>
          <w:szCs w:val="24"/>
        </w:rPr>
        <w:t xml:space="preserve"> uz</w:t>
      </w:r>
      <w:r w:rsidR="00163052" w:rsidRPr="00920C23">
        <w:rPr>
          <w:b w:val="0"/>
          <w:sz w:val="24"/>
          <w:szCs w:val="24"/>
        </w:rPr>
        <w:t xml:space="preserve"> </w:t>
      </w:r>
      <w:r w:rsidR="00163052" w:rsidRPr="00920C23">
        <w:rPr>
          <w:b w:val="0"/>
          <w:i/>
          <w:sz w:val="24"/>
          <w:szCs w:val="24"/>
        </w:rPr>
        <w:t>Uzņēmuma</w:t>
      </w:r>
      <w:r w:rsidR="00163052" w:rsidRPr="00920C23">
        <w:rPr>
          <w:b w:val="0"/>
          <w:sz w:val="24"/>
          <w:szCs w:val="24"/>
        </w:rPr>
        <w:t xml:space="preserve"> darbības veidiem</w:t>
      </w:r>
      <w:r w:rsidR="00E76683" w:rsidRPr="00920C23">
        <w:rPr>
          <w:b w:val="0"/>
          <w:sz w:val="24"/>
          <w:szCs w:val="24"/>
        </w:rPr>
        <w:t xml:space="preserve">: </w:t>
      </w:r>
      <w:r w:rsidR="00163052" w:rsidRPr="00920C23">
        <w:rPr>
          <w:b w:val="0"/>
          <w:sz w:val="24"/>
          <w:szCs w:val="24"/>
        </w:rPr>
        <w:t>siltum</w:t>
      </w:r>
      <w:r w:rsidR="00E76683" w:rsidRPr="00920C23">
        <w:rPr>
          <w:b w:val="0"/>
          <w:sz w:val="24"/>
          <w:szCs w:val="24"/>
        </w:rPr>
        <w:t>a un ūdens ražošanu</w:t>
      </w:r>
      <w:r w:rsidR="00152359" w:rsidRPr="00920C23">
        <w:rPr>
          <w:b w:val="0"/>
          <w:sz w:val="24"/>
          <w:szCs w:val="24"/>
        </w:rPr>
        <w:t xml:space="preserve">, </w:t>
      </w:r>
      <w:r w:rsidR="00E76683" w:rsidRPr="00920C23">
        <w:rPr>
          <w:b w:val="0"/>
          <w:sz w:val="24"/>
          <w:szCs w:val="24"/>
        </w:rPr>
        <w:t xml:space="preserve">kanalizācijas ietaišu darbību, ēku </w:t>
      </w:r>
      <w:r w:rsidR="00152359" w:rsidRPr="00920C23">
        <w:rPr>
          <w:b w:val="0"/>
          <w:sz w:val="24"/>
          <w:szCs w:val="24"/>
        </w:rPr>
        <w:t>apsaimniekošanu un pārējiem</w:t>
      </w:r>
      <w:r w:rsidR="00163052" w:rsidRPr="00920C23">
        <w:rPr>
          <w:b w:val="0"/>
          <w:sz w:val="24"/>
          <w:szCs w:val="24"/>
        </w:rPr>
        <w:t xml:space="preserve"> ar saimniecisko darbību saistītajiem izdevumiem.</w:t>
      </w:r>
      <w:r w:rsidR="00E76683" w:rsidRPr="00920C23">
        <w:rPr>
          <w:b w:val="0"/>
          <w:sz w:val="24"/>
          <w:szCs w:val="24"/>
        </w:rPr>
        <w:t xml:space="preserve"> </w:t>
      </w:r>
      <w:r w:rsidR="00E76683" w:rsidRPr="00920C23">
        <w:rPr>
          <w:b w:val="0"/>
          <w:i/>
          <w:sz w:val="24"/>
          <w:szCs w:val="24"/>
        </w:rPr>
        <w:t>Uzņēmuma</w:t>
      </w:r>
      <w:r w:rsidR="00E76683" w:rsidRPr="00920C23">
        <w:rPr>
          <w:b w:val="0"/>
          <w:sz w:val="24"/>
          <w:szCs w:val="24"/>
        </w:rPr>
        <w:t xml:space="preserve"> pārvaldes izdevumi </w:t>
      </w:r>
      <w:r w:rsidR="00130B44" w:rsidRPr="00920C23">
        <w:rPr>
          <w:b w:val="0"/>
          <w:sz w:val="24"/>
          <w:szCs w:val="24"/>
        </w:rPr>
        <w:t xml:space="preserve">procentuāli </w:t>
      </w:r>
      <w:r w:rsidR="00E76683" w:rsidRPr="00920C23">
        <w:rPr>
          <w:b w:val="0"/>
          <w:sz w:val="24"/>
          <w:szCs w:val="24"/>
        </w:rPr>
        <w:t>tiek sadalīti pēc mēneša neto apgrozījuma</w:t>
      </w:r>
      <w:r w:rsidR="00130B44" w:rsidRPr="00920C23">
        <w:rPr>
          <w:b w:val="0"/>
          <w:sz w:val="24"/>
          <w:szCs w:val="24"/>
        </w:rPr>
        <w:t xml:space="preserve"> katram darbības veidam atsevišķi, saskaņā ar </w:t>
      </w:r>
      <w:r w:rsidR="00721862" w:rsidRPr="00920C23">
        <w:rPr>
          <w:b w:val="0"/>
          <w:i/>
          <w:sz w:val="24"/>
          <w:szCs w:val="24"/>
        </w:rPr>
        <w:t>Uzņēmuma</w:t>
      </w:r>
      <w:r w:rsidR="00721862" w:rsidRPr="00920C23">
        <w:rPr>
          <w:b w:val="0"/>
          <w:sz w:val="24"/>
          <w:szCs w:val="24"/>
        </w:rPr>
        <w:t xml:space="preserve"> </w:t>
      </w:r>
      <w:r w:rsidRPr="00920C23">
        <w:rPr>
          <w:b w:val="0"/>
          <w:sz w:val="24"/>
          <w:szCs w:val="24"/>
        </w:rPr>
        <w:t>grāmatvedības uzskaiti</w:t>
      </w:r>
      <w:r w:rsidR="00130B44" w:rsidRPr="00920C23">
        <w:rPr>
          <w:b w:val="0"/>
          <w:sz w:val="24"/>
          <w:szCs w:val="24"/>
        </w:rPr>
        <w:t xml:space="preserve">. Saimnieciskās darbības </w:t>
      </w:r>
      <w:r w:rsidRPr="00920C23">
        <w:rPr>
          <w:b w:val="0"/>
          <w:sz w:val="24"/>
          <w:szCs w:val="24"/>
        </w:rPr>
        <w:t>izdevumi tiek attiecināti uz konkrētu izdevumu veidu</w:t>
      </w:r>
      <w:r w:rsidR="006A01CC">
        <w:rPr>
          <w:b w:val="0"/>
          <w:sz w:val="24"/>
          <w:szCs w:val="24"/>
        </w:rPr>
        <w:t>,</w:t>
      </w:r>
      <w:r w:rsidR="001B354A" w:rsidRPr="00920C23">
        <w:rPr>
          <w:b w:val="0"/>
          <w:sz w:val="24"/>
          <w:szCs w:val="24"/>
        </w:rPr>
        <w:t xml:space="preserve"> vadoties pēc</w:t>
      </w:r>
      <w:r w:rsidR="001B354A" w:rsidRPr="00920C23">
        <w:rPr>
          <w:b w:val="0"/>
          <w:i/>
          <w:sz w:val="24"/>
          <w:szCs w:val="24"/>
        </w:rPr>
        <w:t xml:space="preserve"> </w:t>
      </w:r>
      <w:r w:rsidR="00130B44" w:rsidRPr="00920C23">
        <w:rPr>
          <w:b w:val="0"/>
          <w:i/>
          <w:sz w:val="24"/>
          <w:szCs w:val="24"/>
        </w:rPr>
        <w:t>Uzņēmumā</w:t>
      </w:r>
      <w:r w:rsidR="00130B44" w:rsidRPr="00920C23">
        <w:rPr>
          <w:b w:val="0"/>
          <w:sz w:val="24"/>
          <w:szCs w:val="24"/>
        </w:rPr>
        <w:t xml:space="preserve"> </w:t>
      </w:r>
      <w:r w:rsidR="001B354A" w:rsidRPr="00920C23">
        <w:rPr>
          <w:b w:val="0"/>
          <w:sz w:val="24"/>
          <w:szCs w:val="24"/>
        </w:rPr>
        <w:t>izstrādātā un akceptētā kontu plāna, kā arī grāmatvedības metodikas.</w:t>
      </w:r>
      <w:bookmarkEnd w:id="7"/>
      <w:r w:rsidR="001C2953">
        <w:rPr>
          <w:b w:val="0"/>
          <w:sz w:val="24"/>
          <w:szCs w:val="24"/>
        </w:rPr>
        <w:t xml:space="preserve"> </w:t>
      </w:r>
      <w:r w:rsidR="004D6DA5" w:rsidRPr="001C2953">
        <w:rPr>
          <w:b w:val="0"/>
          <w:i/>
          <w:sz w:val="24"/>
          <w:szCs w:val="24"/>
        </w:rPr>
        <w:t>Uzņēmum</w:t>
      </w:r>
      <w:r w:rsidR="001C2953" w:rsidRPr="001C2953">
        <w:rPr>
          <w:b w:val="0"/>
          <w:i/>
          <w:sz w:val="24"/>
          <w:szCs w:val="24"/>
        </w:rPr>
        <w:t>s</w:t>
      </w:r>
      <w:r w:rsidR="001C2953">
        <w:rPr>
          <w:b w:val="0"/>
          <w:sz w:val="24"/>
          <w:szCs w:val="24"/>
        </w:rPr>
        <w:t xml:space="preserve"> savā darbības laikā regulāri un laikā Valsts budžetā ir veicis samaksu par visiem aprēķinātajiem nodokļiem, nodevām un iemaksām</w:t>
      </w:r>
      <w:r w:rsidR="00374500">
        <w:rPr>
          <w:b w:val="0"/>
          <w:sz w:val="24"/>
          <w:szCs w:val="24"/>
        </w:rPr>
        <w:t>.</w:t>
      </w:r>
      <w:r w:rsidR="001C2953">
        <w:rPr>
          <w:b w:val="0"/>
          <w:sz w:val="24"/>
          <w:szCs w:val="24"/>
        </w:rPr>
        <w:t xml:space="preserve"> </w:t>
      </w:r>
      <w:r w:rsidR="00F66840">
        <w:rPr>
          <w:b w:val="0"/>
          <w:sz w:val="24"/>
          <w:szCs w:val="24"/>
        </w:rPr>
        <w:t>Tādejādi</w:t>
      </w:r>
      <w:r w:rsidR="008922BA">
        <w:rPr>
          <w:b w:val="0"/>
          <w:sz w:val="24"/>
          <w:szCs w:val="24"/>
        </w:rPr>
        <w:t xml:space="preserve"> </w:t>
      </w:r>
      <w:r w:rsidR="001C2953">
        <w:rPr>
          <w:b w:val="0"/>
          <w:sz w:val="24"/>
          <w:szCs w:val="24"/>
        </w:rPr>
        <w:t>nodokļu parādi</w:t>
      </w:r>
      <w:r w:rsidR="004D6DA5">
        <w:rPr>
          <w:b w:val="0"/>
          <w:sz w:val="24"/>
          <w:szCs w:val="24"/>
        </w:rPr>
        <w:t xml:space="preserve"> </w:t>
      </w:r>
      <w:r w:rsidR="001C2953">
        <w:rPr>
          <w:b w:val="0"/>
          <w:sz w:val="24"/>
          <w:szCs w:val="24"/>
        </w:rPr>
        <w:t>uzņēmumam nav bijuši.</w:t>
      </w:r>
    </w:p>
    <w:p w:rsidR="008922BA" w:rsidRPr="00920C23" w:rsidRDefault="008922BA" w:rsidP="008922BA">
      <w:pPr>
        <w:pStyle w:val="Nodala"/>
        <w:spacing w:after="0"/>
        <w:ind w:firstLine="720"/>
        <w:jc w:val="both"/>
        <w:rPr>
          <w:b w:val="0"/>
          <w:sz w:val="24"/>
          <w:szCs w:val="24"/>
        </w:rPr>
      </w:pPr>
    </w:p>
    <w:p w:rsidR="008363FF" w:rsidRDefault="003A7E0F" w:rsidP="008922BA">
      <w:pPr>
        <w:pStyle w:val="Nodala"/>
        <w:spacing w:after="0"/>
        <w:ind w:firstLine="720"/>
        <w:jc w:val="both"/>
        <w:rPr>
          <w:b w:val="0"/>
          <w:sz w:val="24"/>
          <w:szCs w:val="24"/>
        </w:rPr>
      </w:pPr>
      <w:bookmarkStart w:id="9" w:name="_Toc443373783"/>
      <w:r w:rsidRPr="00920C23">
        <w:rPr>
          <w:b w:val="0"/>
          <w:sz w:val="24"/>
          <w:szCs w:val="24"/>
        </w:rPr>
        <w:t>Dzīvojamā</w:t>
      </w:r>
      <w:r w:rsidR="00721862" w:rsidRPr="00920C23">
        <w:rPr>
          <w:b w:val="0"/>
          <w:sz w:val="24"/>
          <w:szCs w:val="24"/>
        </w:rPr>
        <w:t>s mājas uzturēšanas un apsaimniekošanas</w:t>
      </w:r>
      <w:r w:rsidRPr="00920C23">
        <w:rPr>
          <w:b w:val="0"/>
          <w:sz w:val="24"/>
          <w:szCs w:val="24"/>
        </w:rPr>
        <w:t xml:space="preserve"> izdevumi tiek uzskaitīti</w:t>
      </w:r>
      <w:r w:rsidR="00A91F56" w:rsidRPr="00920C23">
        <w:rPr>
          <w:b w:val="0"/>
          <w:sz w:val="24"/>
          <w:szCs w:val="24"/>
        </w:rPr>
        <w:t>, tos attiecinot uz konkrētu māju</w:t>
      </w:r>
      <w:r w:rsidR="00721862" w:rsidRPr="00920C23">
        <w:rPr>
          <w:b w:val="0"/>
          <w:sz w:val="24"/>
          <w:szCs w:val="24"/>
        </w:rPr>
        <w:t xml:space="preserve"> (</w:t>
      </w:r>
      <w:r w:rsidR="00A91F56" w:rsidRPr="00920C23">
        <w:rPr>
          <w:b w:val="0"/>
          <w:sz w:val="24"/>
          <w:szCs w:val="24"/>
        </w:rPr>
        <w:t xml:space="preserve">pamatojoties uz </w:t>
      </w:r>
      <w:r w:rsidR="00721862" w:rsidRPr="00920C23">
        <w:rPr>
          <w:b w:val="0"/>
          <w:sz w:val="24"/>
          <w:szCs w:val="24"/>
        </w:rPr>
        <w:t>veiktajiem darbiem) un saskaņā ar obligāti organizējamiem uzturēšanas un apsaimniekošanas pakalpojumu izdevumiem, kas aprēķināti proporcionāli</w:t>
      </w:r>
      <w:r w:rsidR="00721862" w:rsidRPr="00920C23">
        <w:rPr>
          <w:sz w:val="24"/>
          <w:szCs w:val="24"/>
        </w:rPr>
        <w:t xml:space="preserve"> </w:t>
      </w:r>
      <w:r w:rsidR="00721862" w:rsidRPr="00920C23">
        <w:rPr>
          <w:b w:val="0"/>
          <w:sz w:val="24"/>
          <w:szCs w:val="24"/>
        </w:rPr>
        <w:t>dzīvokļa īpašumā ietilpstošajai kopīpašuma</w:t>
      </w:r>
      <w:r w:rsidR="00721862" w:rsidRPr="00920C23">
        <w:rPr>
          <w:sz w:val="24"/>
          <w:szCs w:val="24"/>
        </w:rPr>
        <w:t xml:space="preserve"> </w:t>
      </w:r>
      <w:r w:rsidR="00721862" w:rsidRPr="00920C23">
        <w:rPr>
          <w:b w:val="0"/>
          <w:sz w:val="24"/>
          <w:szCs w:val="24"/>
        </w:rPr>
        <w:t>domājamai daļai.</w:t>
      </w:r>
      <w:r w:rsidR="00A91F56" w:rsidRPr="00920C23">
        <w:rPr>
          <w:b w:val="0"/>
          <w:sz w:val="24"/>
          <w:szCs w:val="24"/>
        </w:rPr>
        <w:t xml:space="preserve"> </w:t>
      </w:r>
      <w:r w:rsidR="004B4FCF" w:rsidRPr="00920C23">
        <w:rPr>
          <w:b w:val="0"/>
          <w:sz w:val="24"/>
          <w:szCs w:val="24"/>
        </w:rPr>
        <w:t xml:space="preserve">Veicot </w:t>
      </w:r>
      <w:r w:rsidR="00316B91" w:rsidRPr="00920C23">
        <w:rPr>
          <w:b w:val="0"/>
          <w:i/>
          <w:sz w:val="24"/>
          <w:szCs w:val="24"/>
        </w:rPr>
        <w:t>U</w:t>
      </w:r>
      <w:r w:rsidR="004B4FCF" w:rsidRPr="00920C23">
        <w:rPr>
          <w:b w:val="0"/>
          <w:i/>
          <w:sz w:val="24"/>
          <w:szCs w:val="24"/>
        </w:rPr>
        <w:t>zņēmuma</w:t>
      </w:r>
      <w:r w:rsidR="004B4FCF" w:rsidRPr="00920C23">
        <w:rPr>
          <w:b w:val="0"/>
          <w:sz w:val="24"/>
          <w:szCs w:val="24"/>
        </w:rPr>
        <w:t xml:space="preserve"> saimniecisko darbību veidojas šāda izdevumu struktūra</w:t>
      </w:r>
      <w:r w:rsidR="00CF2174" w:rsidRPr="00920C23">
        <w:rPr>
          <w:b w:val="0"/>
          <w:sz w:val="24"/>
          <w:szCs w:val="24"/>
        </w:rPr>
        <w:t>:</w:t>
      </w:r>
      <w:bookmarkEnd w:id="8"/>
      <w:bookmarkEnd w:id="9"/>
    </w:p>
    <w:p w:rsidR="008922BA" w:rsidRDefault="008922BA" w:rsidP="008922BA">
      <w:pPr>
        <w:pStyle w:val="Nodala"/>
        <w:spacing w:after="0"/>
        <w:ind w:firstLine="720"/>
        <w:jc w:val="both"/>
        <w:rPr>
          <w:b w:val="0"/>
          <w:sz w:val="24"/>
          <w:szCs w:val="24"/>
        </w:rPr>
      </w:pPr>
    </w:p>
    <w:p w:rsidR="001B354A" w:rsidRPr="00920C23" w:rsidRDefault="001B354A" w:rsidP="008922BA">
      <w:pPr>
        <w:pStyle w:val="Nodala"/>
        <w:spacing w:after="0"/>
        <w:ind w:firstLine="720"/>
        <w:rPr>
          <w:b w:val="0"/>
          <w:sz w:val="24"/>
          <w:szCs w:val="24"/>
        </w:rPr>
      </w:pPr>
      <w:bookmarkStart w:id="10" w:name="_Toc443373784"/>
      <w:r w:rsidRPr="00920C23">
        <w:rPr>
          <w:sz w:val="24"/>
          <w:szCs w:val="24"/>
        </w:rPr>
        <w:t>Izdevumu struktūras analīze 201</w:t>
      </w:r>
      <w:r w:rsidR="00A634C0">
        <w:rPr>
          <w:sz w:val="24"/>
          <w:szCs w:val="24"/>
        </w:rPr>
        <w:t>5</w:t>
      </w:r>
      <w:r w:rsidRPr="00920C23">
        <w:rPr>
          <w:sz w:val="24"/>
          <w:szCs w:val="24"/>
        </w:rPr>
        <w:t>. un 201</w:t>
      </w:r>
      <w:r w:rsidR="00A634C0">
        <w:rPr>
          <w:sz w:val="24"/>
          <w:szCs w:val="24"/>
        </w:rPr>
        <w:t>6</w:t>
      </w:r>
      <w:r w:rsidRPr="00920C23">
        <w:rPr>
          <w:sz w:val="24"/>
          <w:szCs w:val="24"/>
        </w:rPr>
        <w:t xml:space="preserve">.gadā </w:t>
      </w:r>
      <w:r w:rsidRPr="00920C23">
        <w:rPr>
          <w:b w:val="0"/>
          <w:sz w:val="24"/>
          <w:szCs w:val="24"/>
        </w:rPr>
        <w:t>(procentos)</w:t>
      </w:r>
      <w:bookmarkEnd w:id="10"/>
    </w:p>
    <w:p w:rsidR="001074CE" w:rsidRPr="00920C23" w:rsidRDefault="00F81F13" w:rsidP="00F81F13">
      <w:pPr>
        <w:pStyle w:val="Nodala"/>
        <w:spacing w:after="0"/>
        <w:ind w:firstLine="720"/>
        <w:jc w:val="right"/>
        <w:rPr>
          <w:b w:val="0"/>
          <w:sz w:val="20"/>
          <w:szCs w:val="20"/>
        </w:rPr>
      </w:pPr>
      <w:bookmarkStart w:id="11" w:name="_Toc443373785"/>
      <w:r w:rsidRPr="00920C23">
        <w:rPr>
          <w:b w:val="0"/>
          <w:sz w:val="20"/>
          <w:szCs w:val="20"/>
        </w:rPr>
        <w:t>t</w:t>
      </w:r>
      <w:r w:rsidR="001074CE" w:rsidRPr="00920C23">
        <w:rPr>
          <w:b w:val="0"/>
          <w:sz w:val="20"/>
          <w:szCs w:val="20"/>
        </w:rPr>
        <w:t>abula Nr.2</w:t>
      </w:r>
      <w:bookmarkEnd w:id="11"/>
    </w:p>
    <w:tbl>
      <w:tblPr>
        <w:tblW w:w="9012" w:type="dxa"/>
        <w:jc w:val="center"/>
        <w:tblLook w:val="0000" w:firstRow="0" w:lastRow="0" w:firstColumn="0" w:lastColumn="0" w:noHBand="0" w:noVBand="0"/>
      </w:tblPr>
      <w:tblGrid>
        <w:gridCol w:w="6492"/>
        <w:gridCol w:w="1239"/>
        <w:gridCol w:w="1281"/>
      </w:tblGrid>
      <w:tr w:rsidR="00A634C0" w:rsidRPr="00920C23" w:rsidTr="00A634C0">
        <w:trPr>
          <w:trHeight w:val="255"/>
          <w:jc w:val="center"/>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4C0" w:rsidRPr="00920C23" w:rsidRDefault="00A634C0" w:rsidP="00780D27">
            <w:pPr>
              <w:jc w:val="center"/>
              <w:rPr>
                <w:b/>
              </w:rPr>
            </w:pPr>
            <w:bookmarkStart w:id="12" w:name="_Toc354406601"/>
            <w:r w:rsidRPr="00920C23">
              <w:rPr>
                <w:b/>
              </w:rPr>
              <w:t>Izdevumu veids</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A2A2A">
            <w:pPr>
              <w:jc w:val="right"/>
              <w:rPr>
                <w:b/>
              </w:rPr>
            </w:pPr>
            <w:r w:rsidRPr="00920C23">
              <w:rPr>
                <w:b/>
              </w:rPr>
              <w:t>2015.g.</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A634C0">
            <w:pPr>
              <w:jc w:val="right"/>
              <w:rPr>
                <w:b/>
              </w:rPr>
            </w:pPr>
            <w:r w:rsidRPr="00920C23">
              <w:rPr>
                <w:b/>
              </w:rPr>
              <w:t>201</w:t>
            </w:r>
            <w:r>
              <w:rPr>
                <w:b/>
              </w:rPr>
              <w:t>6</w:t>
            </w:r>
            <w:r w:rsidRPr="00920C23">
              <w:rPr>
                <w:b/>
              </w:rPr>
              <w:t>.g.</w:t>
            </w:r>
          </w:p>
        </w:tc>
      </w:tr>
      <w:tr w:rsidR="00A634C0" w:rsidRPr="00920C23" w:rsidTr="00A634C0">
        <w:trPr>
          <w:trHeight w:val="255"/>
          <w:jc w:val="center"/>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4C0" w:rsidRPr="00920C23" w:rsidRDefault="00A634C0" w:rsidP="00780D27">
            <w:r w:rsidRPr="00920C23">
              <w:t>SILTUMS</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A2A2A">
            <w:pPr>
              <w:jc w:val="right"/>
            </w:pPr>
            <w:r w:rsidRPr="00920C23">
              <w:t>31.5</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E2072">
            <w:pPr>
              <w:jc w:val="right"/>
            </w:pPr>
            <w:r w:rsidRPr="00920C23">
              <w:t>3</w:t>
            </w:r>
            <w:r w:rsidR="009E2072">
              <w:t>3.2</w:t>
            </w:r>
          </w:p>
        </w:tc>
      </w:tr>
      <w:tr w:rsidR="00A634C0" w:rsidRPr="00920C23" w:rsidTr="00A634C0">
        <w:trPr>
          <w:trHeight w:val="255"/>
          <w:jc w:val="center"/>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4C0" w:rsidRPr="00920C23" w:rsidRDefault="00A634C0" w:rsidP="00780D27">
            <w:r w:rsidRPr="00920C23">
              <w:t>ELEKTRĪBAS RAŽOŠANA</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A2A2A">
            <w:pPr>
              <w:jc w:val="right"/>
            </w:pPr>
            <w:r w:rsidRPr="00920C23">
              <w:t>28.5</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E2072">
            <w:pPr>
              <w:jc w:val="right"/>
            </w:pPr>
            <w:r w:rsidRPr="00920C23">
              <w:t>2</w:t>
            </w:r>
            <w:r w:rsidR="009E2072">
              <w:t>4.6</w:t>
            </w:r>
          </w:p>
        </w:tc>
      </w:tr>
      <w:tr w:rsidR="00A634C0" w:rsidRPr="00920C23" w:rsidTr="00A634C0">
        <w:trPr>
          <w:trHeight w:val="255"/>
          <w:jc w:val="center"/>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4C0" w:rsidRPr="00920C23" w:rsidRDefault="00A634C0" w:rsidP="00780D27">
            <w:r w:rsidRPr="00920C23">
              <w:t>APSAIMNIEKOŠANA</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A2A2A">
            <w:pPr>
              <w:jc w:val="right"/>
            </w:pPr>
            <w:r w:rsidRPr="00920C23">
              <w:t>18.6</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E2072">
            <w:pPr>
              <w:jc w:val="right"/>
            </w:pPr>
            <w:r w:rsidRPr="00920C23">
              <w:t>1</w:t>
            </w:r>
            <w:r w:rsidR="009E2072">
              <w:t>9.7</w:t>
            </w:r>
          </w:p>
        </w:tc>
      </w:tr>
      <w:tr w:rsidR="00A634C0" w:rsidRPr="00920C23" w:rsidTr="00A634C0">
        <w:trPr>
          <w:trHeight w:val="255"/>
          <w:jc w:val="center"/>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4C0" w:rsidRPr="00920C23" w:rsidRDefault="00A634C0" w:rsidP="00780D27">
            <w:r w:rsidRPr="00920C23">
              <w:t>KANALIZĀCIJA</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A2A2A">
            <w:pPr>
              <w:jc w:val="right"/>
            </w:pPr>
            <w:r w:rsidRPr="00920C23">
              <w:t>7.8</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9E2072" w:rsidP="009E2072">
            <w:pPr>
              <w:jc w:val="right"/>
            </w:pPr>
            <w:r>
              <w:t>8.3</w:t>
            </w:r>
          </w:p>
        </w:tc>
      </w:tr>
      <w:tr w:rsidR="00A634C0" w:rsidRPr="00920C23" w:rsidTr="00A634C0">
        <w:trPr>
          <w:trHeight w:val="255"/>
          <w:jc w:val="center"/>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4C0" w:rsidRPr="00920C23" w:rsidRDefault="00A634C0" w:rsidP="00780D27">
            <w:r w:rsidRPr="00920C23">
              <w:t>PĀRĒJIE IEŅĒMUMI (no blakus darbības)</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A2A2A">
            <w:pPr>
              <w:jc w:val="right"/>
            </w:pPr>
            <w:r w:rsidRPr="00920C23">
              <w:t>6.5</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9E2072" w:rsidP="009E2072">
            <w:pPr>
              <w:jc w:val="right"/>
            </w:pPr>
            <w:r>
              <w:t>7.1</w:t>
            </w:r>
          </w:p>
        </w:tc>
      </w:tr>
      <w:tr w:rsidR="00A634C0" w:rsidRPr="00920C23" w:rsidTr="00A634C0">
        <w:trPr>
          <w:trHeight w:val="255"/>
          <w:jc w:val="center"/>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4C0" w:rsidRPr="00920C23" w:rsidRDefault="00A634C0" w:rsidP="00780D27">
            <w:r w:rsidRPr="00920C23">
              <w:t>ŪDENS</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8173AB">
            <w:pPr>
              <w:jc w:val="right"/>
            </w:pPr>
            <w:r w:rsidRPr="00920C23">
              <w:t>4</w:t>
            </w:r>
            <w:r w:rsidR="008173AB">
              <w:t>.</w:t>
            </w:r>
            <w:r w:rsidRPr="00920C23">
              <w:t>3</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9E2072" w:rsidP="009E2072">
            <w:pPr>
              <w:jc w:val="right"/>
            </w:pPr>
            <w:r>
              <w:t>4.2</w:t>
            </w:r>
          </w:p>
        </w:tc>
      </w:tr>
      <w:tr w:rsidR="00A634C0" w:rsidRPr="00920C23" w:rsidTr="00A634C0">
        <w:trPr>
          <w:trHeight w:val="255"/>
          <w:jc w:val="center"/>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4C0" w:rsidRPr="00920C23" w:rsidRDefault="00A634C0" w:rsidP="00780D27">
            <w:r w:rsidRPr="00920C23">
              <w:t>ATKRITUMI</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9A2A2A">
            <w:pPr>
              <w:jc w:val="right"/>
            </w:pPr>
            <w:r w:rsidRPr="00920C23">
              <w:t>2.8</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34C0" w:rsidRPr="00920C23" w:rsidRDefault="00A634C0" w:rsidP="00106A5B">
            <w:pPr>
              <w:jc w:val="right"/>
            </w:pPr>
            <w:r w:rsidRPr="00920C23">
              <w:t>2.</w:t>
            </w:r>
            <w:r w:rsidR="009E2072">
              <w:t>9</w:t>
            </w:r>
          </w:p>
        </w:tc>
      </w:tr>
      <w:tr w:rsidR="001B354A" w:rsidRPr="00920C23" w:rsidTr="00A634C0">
        <w:trPr>
          <w:trHeight w:val="255"/>
          <w:jc w:val="center"/>
        </w:trPr>
        <w:tc>
          <w:tcPr>
            <w:tcW w:w="6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354A" w:rsidRPr="00920C23" w:rsidRDefault="001B354A" w:rsidP="00780D27">
            <w:pPr>
              <w:rPr>
                <w:b/>
              </w:rPr>
            </w:pPr>
            <w:r w:rsidRPr="00920C23">
              <w:rPr>
                <w:b/>
              </w:rPr>
              <w:t>IZDEVUMI KOPĀ</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1B354A" w:rsidRPr="00920C23" w:rsidRDefault="001B354A" w:rsidP="00780D27">
            <w:pPr>
              <w:jc w:val="right"/>
              <w:rPr>
                <w:b/>
              </w:rPr>
            </w:pPr>
            <w:r w:rsidRPr="00920C23">
              <w:rPr>
                <w:b/>
              </w:rPr>
              <w:t>100</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1B354A" w:rsidRPr="00920C23" w:rsidRDefault="001B354A" w:rsidP="00780D27">
            <w:pPr>
              <w:jc w:val="right"/>
              <w:rPr>
                <w:b/>
              </w:rPr>
            </w:pPr>
            <w:r w:rsidRPr="00920C23">
              <w:rPr>
                <w:b/>
              </w:rPr>
              <w:t>100</w:t>
            </w:r>
          </w:p>
        </w:tc>
      </w:tr>
      <w:bookmarkEnd w:id="12"/>
    </w:tbl>
    <w:p w:rsidR="005527C2" w:rsidRDefault="005527C2" w:rsidP="008173AB">
      <w:pPr>
        <w:pStyle w:val="Nodala"/>
        <w:jc w:val="left"/>
      </w:pPr>
    </w:p>
    <w:p w:rsidR="005527C2" w:rsidRPr="006E54FA" w:rsidRDefault="008173AB" w:rsidP="005527C2">
      <w:pPr>
        <w:pStyle w:val="Nodala"/>
        <w:jc w:val="left"/>
      </w:pPr>
      <w:r w:rsidRPr="008173AB">
        <w:rPr>
          <w:noProof/>
          <w:lang w:eastAsia="lv-LV"/>
        </w:rPr>
        <w:drawing>
          <wp:inline distT="0" distB="0" distL="0" distR="0">
            <wp:extent cx="5695950" cy="3152775"/>
            <wp:effectExtent l="1905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13" w:name="_Toc443373786"/>
    </w:p>
    <w:p w:rsidR="00C84672" w:rsidRPr="00920C23" w:rsidRDefault="005D6B2E" w:rsidP="000D1ADD">
      <w:pPr>
        <w:pStyle w:val="Virsraksts1"/>
      </w:pPr>
      <w:bookmarkStart w:id="14" w:name="_Toc498420726"/>
      <w:r w:rsidRPr="00920C23">
        <w:rPr>
          <w:i/>
        </w:rPr>
        <w:lastRenderedPageBreak/>
        <w:t>Uzņēmuma</w:t>
      </w:r>
      <w:r w:rsidRPr="00920C23">
        <w:t xml:space="preserve"> attīstības svarīgākie uzdevumi</w:t>
      </w:r>
      <w:r w:rsidR="00D809D6" w:rsidRPr="00920C23">
        <w:t xml:space="preserve"> 201</w:t>
      </w:r>
      <w:r w:rsidR="00AA7363">
        <w:t>7</w:t>
      </w:r>
      <w:r w:rsidR="00DA4405" w:rsidRPr="00920C23">
        <w:t>.-201</w:t>
      </w:r>
      <w:r w:rsidR="00AA7363">
        <w:t>9</w:t>
      </w:r>
      <w:r w:rsidR="00DA4405" w:rsidRPr="00920C23">
        <w:t>.gad</w:t>
      </w:r>
      <w:r w:rsidR="0081286E" w:rsidRPr="00920C23">
        <w:t>a</w:t>
      </w:r>
      <w:r w:rsidR="00DA4405" w:rsidRPr="00920C23">
        <w:t>m</w:t>
      </w:r>
      <w:bookmarkEnd w:id="13"/>
      <w:bookmarkEnd w:id="14"/>
    </w:p>
    <w:p w:rsidR="00136C4A" w:rsidRPr="00920C23" w:rsidRDefault="00136C4A" w:rsidP="00BA2905">
      <w:pPr>
        <w:pStyle w:val="Tekstabloks"/>
        <w:spacing w:line="240" w:lineRule="auto"/>
        <w:ind w:firstLine="360"/>
        <w:rPr>
          <w:sz w:val="24"/>
        </w:rPr>
      </w:pPr>
      <w:r w:rsidRPr="00920C23">
        <w:rPr>
          <w:sz w:val="24"/>
        </w:rPr>
        <w:t>Attīstība</w:t>
      </w:r>
      <w:r w:rsidR="00A826C6" w:rsidRPr="00920C23">
        <w:rPr>
          <w:sz w:val="24"/>
        </w:rPr>
        <w:t>s</w:t>
      </w:r>
      <w:r w:rsidRPr="00920C23">
        <w:rPr>
          <w:sz w:val="24"/>
        </w:rPr>
        <w:t xml:space="preserve"> iespējas tiek saistītas ar </w:t>
      </w:r>
      <w:r w:rsidRPr="00920C23">
        <w:rPr>
          <w:i/>
          <w:iCs/>
          <w:sz w:val="24"/>
        </w:rPr>
        <w:t>Uzņēmuma</w:t>
      </w:r>
      <w:r w:rsidRPr="00920C23">
        <w:rPr>
          <w:sz w:val="24"/>
        </w:rPr>
        <w:t xml:space="preserve"> </w:t>
      </w:r>
      <w:r w:rsidR="00973DC7" w:rsidRPr="00920C23">
        <w:rPr>
          <w:sz w:val="24"/>
        </w:rPr>
        <w:t xml:space="preserve">darbības </w:t>
      </w:r>
      <w:r w:rsidRPr="00920C23">
        <w:rPr>
          <w:sz w:val="24"/>
        </w:rPr>
        <w:t>svarīg</w:t>
      </w:r>
      <w:r w:rsidR="00973DC7" w:rsidRPr="00920C23">
        <w:rPr>
          <w:sz w:val="24"/>
        </w:rPr>
        <w:t>ākaj</w:t>
      </w:r>
      <w:r w:rsidRPr="00920C23">
        <w:rPr>
          <w:sz w:val="24"/>
        </w:rPr>
        <w:t>iem uzdevumiem:</w:t>
      </w:r>
    </w:p>
    <w:p w:rsidR="00130615" w:rsidRPr="00920C23" w:rsidRDefault="00130615" w:rsidP="00130615">
      <w:pPr>
        <w:pStyle w:val="Tekstabloks"/>
        <w:spacing w:line="240" w:lineRule="auto"/>
        <w:ind w:firstLine="0"/>
        <w:rPr>
          <w:sz w:val="24"/>
        </w:rPr>
      </w:pPr>
    </w:p>
    <w:p w:rsidR="004E4BC4" w:rsidRPr="00920C23" w:rsidRDefault="004E4BC4" w:rsidP="00011C91">
      <w:pPr>
        <w:pStyle w:val="Tekstabloks"/>
        <w:numPr>
          <w:ilvl w:val="0"/>
          <w:numId w:val="15"/>
        </w:numPr>
        <w:spacing w:line="240" w:lineRule="auto"/>
        <w:rPr>
          <w:sz w:val="24"/>
        </w:rPr>
      </w:pPr>
      <w:r w:rsidRPr="00920C23">
        <w:rPr>
          <w:sz w:val="24"/>
        </w:rPr>
        <w:t>Maksimāli izmantot jaunās tehnoloģijas un iekārtas rekonstruētajā katlu mājā;</w:t>
      </w:r>
    </w:p>
    <w:p w:rsidR="004E4BC4" w:rsidRPr="00920C23" w:rsidRDefault="004E4BC4" w:rsidP="00011C91">
      <w:pPr>
        <w:pStyle w:val="Tekstabloks"/>
        <w:numPr>
          <w:ilvl w:val="0"/>
          <w:numId w:val="15"/>
        </w:numPr>
        <w:spacing w:line="240" w:lineRule="auto"/>
        <w:rPr>
          <w:sz w:val="24"/>
        </w:rPr>
      </w:pPr>
      <w:r w:rsidRPr="00920C23">
        <w:rPr>
          <w:sz w:val="24"/>
        </w:rPr>
        <w:t xml:space="preserve">Saglabāt nemainīgu 2008.gadā apstiprināto tarifu siltuma, aukstā ūdens un kanalizācijas pakalpojumiem; </w:t>
      </w:r>
    </w:p>
    <w:p w:rsidR="00FB097B" w:rsidRPr="00920C23" w:rsidRDefault="004E4BC4" w:rsidP="00011C91">
      <w:pPr>
        <w:pStyle w:val="Tekstabloks"/>
        <w:numPr>
          <w:ilvl w:val="0"/>
          <w:numId w:val="15"/>
        </w:numPr>
        <w:spacing w:line="240" w:lineRule="auto"/>
        <w:rPr>
          <w:sz w:val="24"/>
        </w:rPr>
      </w:pPr>
      <w:r w:rsidRPr="00920C23">
        <w:rPr>
          <w:sz w:val="24"/>
        </w:rPr>
        <w:t>N</w:t>
      </w:r>
      <w:r w:rsidR="00FB097B" w:rsidRPr="00920C23">
        <w:rPr>
          <w:sz w:val="24"/>
        </w:rPr>
        <w:t>odrošināt klientus ar nepārtrauktu kvalitatīva ūdens piegādi un notekūdeņu aizvadīšanu un attīrīšanu;</w:t>
      </w:r>
    </w:p>
    <w:p w:rsidR="00CF2174" w:rsidRPr="001D7706" w:rsidRDefault="004E4BC4" w:rsidP="00011C91">
      <w:pPr>
        <w:pStyle w:val="Tekstabloks"/>
        <w:numPr>
          <w:ilvl w:val="0"/>
          <w:numId w:val="15"/>
        </w:numPr>
        <w:spacing w:line="240" w:lineRule="auto"/>
        <w:rPr>
          <w:sz w:val="24"/>
        </w:rPr>
      </w:pPr>
      <w:r w:rsidRPr="001D7706">
        <w:rPr>
          <w:sz w:val="24"/>
        </w:rPr>
        <w:t>P</w:t>
      </w:r>
      <w:r w:rsidR="00CF2174" w:rsidRPr="001D7706">
        <w:rPr>
          <w:sz w:val="24"/>
        </w:rPr>
        <w:t xml:space="preserve">anākt maksimāli lielu ūdens un kanalizācijas </w:t>
      </w:r>
      <w:proofErr w:type="spellStart"/>
      <w:r w:rsidR="00CF2174" w:rsidRPr="001D7706">
        <w:rPr>
          <w:sz w:val="24"/>
        </w:rPr>
        <w:t>pieslēgumu</w:t>
      </w:r>
      <w:proofErr w:type="spellEnd"/>
      <w:r w:rsidR="00CF2174" w:rsidRPr="001D7706">
        <w:rPr>
          <w:sz w:val="24"/>
        </w:rPr>
        <w:t xml:space="preserve"> skaitu projekta </w:t>
      </w:r>
      <w:r w:rsidR="00CF2174" w:rsidRPr="001D7706">
        <w:rPr>
          <w:b/>
          <w:sz w:val="24"/>
        </w:rPr>
        <w:t>„</w:t>
      </w:r>
      <w:r w:rsidR="00CF2174" w:rsidRPr="001D7706">
        <w:rPr>
          <w:sz w:val="24"/>
        </w:rPr>
        <w:t>Ūdensvada un kanalizācijas tīklu atjaunošana un paplašināšana Koknesē” ietvaros.</w:t>
      </w:r>
    </w:p>
    <w:p w:rsidR="00FB097B" w:rsidRPr="001D7706" w:rsidRDefault="004E4BC4" w:rsidP="00011C91">
      <w:pPr>
        <w:pStyle w:val="Tekstabloks"/>
        <w:numPr>
          <w:ilvl w:val="0"/>
          <w:numId w:val="15"/>
        </w:numPr>
        <w:spacing w:line="240" w:lineRule="auto"/>
        <w:rPr>
          <w:sz w:val="24"/>
        </w:rPr>
      </w:pPr>
      <w:r w:rsidRPr="001D7706">
        <w:rPr>
          <w:sz w:val="24"/>
        </w:rPr>
        <w:t>N</w:t>
      </w:r>
      <w:r w:rsidR="00FB097B" w:rsidRPr="001D7706">
        <w:rPr>
          <w:sz w:val="24"/>
        </w:rPr>
        <w:t xml:space="preserve">odrošināt klientus ar </w:t>
      </w:r>
      <w:r w:rsidR="00A457B0" w:rsidRPr="001D7706">
        <w:rPr>
          <w:sz w:val="24"/>
        </w:rPr>
        <w:t xml:space="preserve">kvalitatīvu </w:t>
      </w:r>
      <w:r w:rsidR="00FB097B" w:rsidRPr="001D7706">
        <w:rPr>
          <w:sz w:val="24"/>
        </w:rPr>
        <w:t>siltuma un karstā ūdens apgādi</w:t>
      </w:r>
      <w:r w:rsidR="00D2016E">
        <w:rPr>
          <w:sz w:val="24"/>
        </w:rPr>
        <w:t>, iegādājoties gāzes apkures katlu karstā ūdens uzsildīšanai</w:t>
      </w:r>
      <w:r w:rsidR="00FB097B" w:rsidRPr="001D7706">
        <w:rPr>
          <w:sz w:val="24"/>
        </w:rPr>
        <w:t>;</w:t>
      </w:r>
    </w:p>
    <w:p w:rsidR="00136C4A" w:rsidRPr="001D7706" w:rsidRDefault="004E4BC4" w:rsidP="00011C91">
      <w:pPr>
        <w:pStyle w:val="Tekstabloks"/>
        <w:numPr>
          <w:ilvl w:val="0"/>
          <w:numId w:val="15"/>
        </w:numPr>
        <w:spacing w:line="240" w:lineRule="auto"/>
        <w:rPr>
          <w:sz w:val="24"/>
        </w:rPr>
      </w:pPr>
      <w:r w:rsidRPr="001D7706">
        <w:rPr>
          <w:sz w:val="24"/>
        </w:rPr>
        <w:t>N</w:t>
      </w:r>
      <w:r w:rsidR="00136C4A" w:rsidRPr="001D7706">
        <w:rPr>
          <w:sz w:val="24"/>
        </w:rPr>
        <w:t>odrošināt dzīvojamo namu tehnisko uzturēš</w:t>
      </w:r>
      <w:r w:rsidR="004A1644" w:rsidRPr="001D7706">
        <w:rPr>
          <w:sz w:val="24"/>
        </w:rPr>
        <w:t>anu un</w:t>
      </w:r>
      <w:r w:rsidR="00963533" w:rsidRPr="001D7706">
        <w:rPr>
          <w:sz w:val="24"/>
        </w:rPr>
        <w:t xml:space="preserve"> mājai piesaistītā zemes gabal</w:t>
      </w:r>
      <w:r w:rsidR="00A457B0" w:rsidRPr="001D7706">
        <w:rPr>
          <w:sz w:val="24"/>
        </w:rPr>
        <w:t>u</w:t>
      </w:r>
      <w:r w:rsidR="00963533" w:rsidRPr="001D7706">
        <w:rPr>
          <w:sz w:val="24"/>
        </w:rPr>
        <w:t xml:space="preserve"> </w:t>
      </w:r>
      <w:r w:rsidR="00FB097B" w:rsidRPr="001D7706">
        <w:rPr>
          <w:sz w:val="24"/>
        </w:rPr>
        <w:t>uz</w:t>
      </w:r>
      <w:r w:rsidR="00963533" w:rsidRPr="001D7706">
        <w:rPr>
          <w:sz w:val="24"/>
        </w:rPr>
        <w:t>kopšanu</w:t>
      </w:r>
      <w:r w:rsidR="00AA7363" w:rsidRPr="001D7706">
        <w:rPr>
          <w:sz w:val="24"/>
        </w:rPr>
        <w:t>, māju renovāciju</w:t>
      </w:r>
      <w:r w:rsidR="00136C4A" w:rsidRPr="001D7706">
        <w:rPr>
          <w:sz w:val="24"/>
        </w:rPr>
        <w:t>;</w:t>
      </w:r>
    </w:p>
    <w:p w:rsidR="001F7340" w:rsidRPr="001D7706" w:rsidRDefault="001F7340" w:rsidP="00011C91">
      <w:pPr>
        <w:pStyle w:val="Tekstabloks"/>
        <w:numPr>
          <w:ilvl w:val="0"/>
          <w:numId w:val="15"/>
        </w:numPr>
        <w:spacing w:line="240" w:lineRule="auto"/>
        <w:rPr>
          <w:sz w:val="24"/>
        </w:rPr>
      </w:pPr>
      <w:r w:rsidRPr="001D7706">
        <w:rPr>
          <w:sz w:val="24"/>
        </w:rPr>
        <w:t xml:space="preserve">Maksimālu uzmanību veltīt darbam ar komunālo maksājumu parādniekiem un to veidošanās iemesliem, </w:t>
      </w:r>
      <w:r w:rsidR="000C74D6" w:rsidRPr="001D7706">
        <w:rPr>
          <w:sz w:val="24"/>
        </w:rPr>
        <w:t>kur</w:t>
      </w:r>
      <w:r w:rsidR="00E92355" w:rsidRPr="001D7706">
        <w:rPr>
          <w:sz w:val="24"/>
        </w:rPr>
        <w:t>u</w:t>
      </w:r>
      <w:r w:rsidR="000C74D6" w:rsidRPr="001D7706">
        <w:rPr>
          <w:sz w:val="24"/>
        </w:rPr>
        <w:t xml:space="preserve"> pamatā </w:t>
      </w:r>
      <w:r w:rsidR="00442609" w:rsidRPr="001D7706">
        <w:rPr>
          <w:sz w:val="24"/>
        </w:rPr>
        <w:t>noteicošais</w:t>
      </w:r>
      <w:r w:rsidR="000C74D6" w:rsidRPr="001D7706">
        <w:rPr>
          <w:sz w:val="24"/>
        </w:rPr>
        <w:t xml:space="preserve"> ir</w:t>
      </w:r>
      <w:r w:rsidRPr="001D7706">
        <w:rPr>
          <w:sz w:val="24"/>
        </w:rPr>
        <w:t>:</w:t>
      </w:r>
    </w:p>
    <w:p w:rsidR="001F7340" w:rsidRPr="001D7706" w:rsidRDefault="001F7340" w:rsidP="007868B8">
      <w:pPr>
        <w:pStyle w:val="Tekstabloks"/>
        <w:numPr>
          <w:ilvl w:val="0"/>
          <w:numId w:val="17"/>
        </w:numPr>
        <w:spacing w:line="240" w:lineRule="auto"/>
        <w:rPr>
          <w:sz w:val="24"/>
        </w:rPr>
      </w:pPr>
      <w:r w:rsidRPr="001D7706">
        <w:rPr>
          <w:sz w:val="24"/>
        </w:rPr>
        <w:t xml:space="preserve">sarežģītā ekonomiskā situācija valstī </w:t>
      </w:r>
      <w:r w:rsidR="000C74D6" w:rsidRPr="001D7706">
        <w:rPr>
          <w:sz w:val="24"/>
        </w:rPr>
        <w:t>rada papildus finansiālas grūtības apmaksāt saņemtos rēķinus;</w:t>
      </w:r>
    </w:p>
    <w:p w:rsidR="000C74D6" w:rsidRPr="001D7706" w:rsidRDefault="007868B8" w:rsidP="007868B8">
      <w:pPr>
        <w:pStyle w:val="Tekstabloks"/>
        <w:numPr>
          <w:ilvl w:val="0"/>
          <w:numId w:val="17"/>
        </w:numPr>
        <w:spacing w:line="240" w:lineRule="auto"/>
        <w:rPr>
          <w:sz w:val="24"/>
        </w:rPr>
      </w:pPr>
      <w:r w:rsidRPr="001D7706">
        <w:rPr>
          <w:sz w:val="24"/>
        </w:rPr>
        <w:t>d</w:t>
      </w:r>
      <w:r w:rsidR="000C74D6" w:rsidRPr="001D7706">
        <w:rPr>
          <w:sz w:val="24"/>
        </w:rPr>
        <w:t>zīvokļu īpašnieku maksājumu disciplīnas trūkums.</w:t>
      </w:r>
    </w:p>
    <w:p w:rsidR="000C74D6" w:rsidRPr="001D7706" w:rsidRDefault="000C74D6" w:rsidP="007C514C">
      <w:pPr>
        <w:pStyle w:val="Tekstabloks"/>
        <w:numPr>
          <w:ilvl w:val="0"/>
          <w:numId w:val="15"/>
        </w:numPr>
        <w:spacing w:line="240" w:lineRule="auto"/>
        <w:rPr>
          <w:sz w:val="24"/>
        </w:rPr>
      </w:pPr>
      <w:r w:rsidRPr="001D7706">
        <w:rPr>
          <w:sz w:val="24"/>
        </w:rPr>
        <w:t>Lai veiksmīgāk uzlabotu parādu piedziņas darbu, nepieciešam</w:t>
      </w:r>
      <w:r w:rsidR="001D7706" w:rsidRPr="001D7706">
        <w:rPr>
          <w:sz w:val="24"/>
        </w:rPr>
        <w:t>s</w:t>
      </w:r>
      <w:r w:rsidRPr="001D7706">
        <w:rPr>
          <w:sz w:val="24"/>
        </w:rPr>
        <w:t>:</w:t>
      </w:r>
    </w:p>
    <w:p w:rsidR="007C514C" w:rsidRPr="001D7706" w:rsidRDefault="001D7706" w:rsidP="007C514C">
      <w:pPr>
        <w:pStyle w:val="Tekstabloks"/>
        <w:numPr>
          <w:ilvl w:val="0"/>
          <w:numId w:val="20"/>
        </w:numPr>
        <w:spacing w:line="240" w:lineRule="auto"/>
        <w:ind w:left="1276" w:hanging="425"/>
        <w:rPr>
          <w:sz w:val="24"/>
        </w:rPr>
      </w:pPr>
      <w:r w:rsidRPr="001D7706">
        <w:rPr>
          <w:sz w:val="24"/>
        </w:rPr>
        <w:t xml:space="preserve">veikt </w:t>
      </w:r>
      <w:r w:rsidR="004F307F" w:rsidRPr="001D7706">
        <w:rPr>
          <w:sz w:val="24"/>
        </w:rPr>
        <w:t xml:space="preserve">parādu atgūšanas </w:t>
      </w:r>
      <w:proofErr w:type="spellStart"/>
      <w:r w:rsidR="004F307F" w:rsidRPr="001D7706">
        <w:rPr>
          <w:sz w:val="24"/>
        </w:rPr>
        <w:t>pirmstiesas</w:t>
      </w:r>
      <w:proofErr w:type="spellEnd"/>
      <w:r w:rsidR="004F307F" w:rsidRPr="001D7706">
        <w:rPr>
          <w:sz w:val="24"/>
        </w:rPr>
        <w:t xml:space="preserve"> stadijas analīz</w:t>
      </w:r>
      <w:r w:rsidRPr="001D7706">
        <w:rPr>
          <w:sz w:val="24"/>
        </w:rPr>
        <w:t>i</w:t>
      </w:r>
      <w:r w:rsidR="004F307F" w:rsidRPr="001D7706">
        <w:rPr>
          <w:sz w:val="24"/>
        </w:rPr>
        <w:t xml:space="preserve"> un riska ,,punktu” noteikšan</w:t>
      </w:r>
      <w:r w:rsidRPr="001D7706">
        <w:rPr>
          <w:sz w:val="24"/>
        </w:rPr>
        <w:t>u</w:t>
      </w:r>
      <w:r w:rsidR="004F307F" w:rsidRPr="001D7706">
        <w:rPr>
          <w:sz w:val="24"/>
        </w:rPr>
        <w:t>,</w:t>
      </w:r>
    </w:p>
    <w:p w:rsidR="007C514C" w:rsidRPr="001D7706" w:rsidRDefault="004F307F" w:rsidP="007C514C">
      <w:pPr>
        <w:pStyle w:val="Tekstabloks"/>
        <w:numPr>
          <w:ilvl w:val="0"/>
          <w:numId w:val="18"/>
        </w:numPr>
        <w:spacing w:line="240" w:lineRule="auto"/>
        <w:rPr>
          <w:sz w:val="24"/>
        </w:rPr>
      </w:pPr>
      <w:r w:rsidRPr="001D7706">
        <w:rPr>
          <w:sz w:val="24"/>
        </w:rPr>
        <w:t>sarunas ar parādniek</w:t>
      </w:r>
      <w:r w:rsidR="001D7706" w:rsidRPr="001D7706">
        <w:rPr>
          <w:sz w:val="24"/>
        </w:rPr>
        <w:t>iem</w:t>
      </w:r>
      <w:r w:rsidRPr="001D7706">
        <w:rPr>
          <w:sz w:val="24"/>
        </w:rPr>
        <w:t>,</w:t>
      </w:r>
      <w:r w:rsidR="007C514C" w:rsidRPr="001D7706">
        <w:rPr>
          <w:sz w:val="24"/>
        </w:rPr>
        <w:t xml:space="preserve"> sagatavot parādnieku lietas iesniegšanai tiesā;</w:t>
      </w:r>
    </w:p>
    <w:p w:rsidR="007C514C" w:rsidRPr="001D7706" w:rsidRDefault="007C514C" w:rsidP="007C514C">
      <w:pPr>
        <w:pStyle w:val="Tekstabloks"/>
        <w:numPr>
          <w:ilvl w:val="0"/>
          <w:numId w:val="18"/>
        </w:numPr>
        <w:spacing w:line="240" w:lineRule="auto"/>
        <w:rPr>
          <w:sz w:val="24"/>
        </w:rPr>
      </w:pPr>
      <w:r w:rsidRPr="001D7706">
        <w:rPr>
          <w:sz w:val="24"/>
        </w:rPr>
        <w:t>slēgt rakstiskas vienošanās ar parādniekiem, sastādot parāda nomaksas grafikus ilgstošākā periodā;</w:t>
      </w:r>
    </w:p>
    <w:p w:rsidR="007C514C" w:rsidRPr="001D7706" w:rsidRDefault="007C514C" w:rsidP="007C514C">
      <w:pPr>
        <w:pStyle w:val="Tekstabloks"/>
        <w:numPr>
          <w:ilvl w:val="0"/>
          <w:numId w:val="18"/>
        </w:numPr>
        <w:spacing w:line="240" w:lineRule="auto"/>
        <w:rPr>
          <w:sz w:val="24"/>
        </w:rPr>
      </w:pPr>
      <w:r w:rsidRPr="001D7706">
        <w:rPr>
          <w:sz w:val="24"/>
        </w:rPr>
        <w:t>veidot sadarbību ar māju vecākajiem, lai objektīvi izvērtētu katras mājas parādnieka problēmu risināšanu;</w:t>
      </w:r>
    </w:p>
    <w:p w:rsidR="004F307F" w:rsidRPr="001D7706" w:rsidRDefault="004F307F" w:rsidP="004F307F">
      <w:pPr>
        <w:pStyle w:val="Tekstabloks"/>
        <w:numPr>
          <w:ilvl w:val="0"/>
          <w:numId w:val="15"/>
        </w:numPr>
        <w:spacing w:line="240" w:lineRule="auto"/>
        <w:rPr>
          <w:sz w:val="24"/>
        </w:rPr>
      </w:pPr>
      <w:r w:rsidRPr="001D7706">
        <w:rPr>
          <w:sz w:val="24"/>
        </w:rPr>
        <w:t>Pakāpeniski veikt nolietotā autotransporta nomaiņu;</w:t>
      </w:r>
    </w:p>
    <w:p w:rsidR="004F307F" w:rsidRPr="001D7706" w:rsidRDefault="004F307F" w:rsidP="004F307F">
      <w:pPr>
        <w:pStyle w:val="Tekstabloks"/>
        <w:numPr>
          <w:ilvl w:val="0"/>
          <w:numId w:val="15"/>
        </w:numPr>
        <w:spacing w:line="240" w:lineRule="auto"/>
        <w:rPr>
          <w:sz w:val="24"/>
        </w:rPr>
      </w:pPr>
      <w:r w:rsidRPr="001D7706">
        <w:rPr>
          <w:sz w:val="24"/>
        </w:rPr>
        <w:t>Ievērot un kontrolēt energoresursu izmaksas,</w:t>
      </w:r>
    </w:p>
    <w:p w:rsidR="004F307F" w:rsidRPr="001D7706" w:rsidRDefault="004F307F" w:rsidP="004F307F">
      <w:pPr>
        <w:pStyle w:val="Tekstabloks"/>
        <w:numPr>
          <w:ilvl w:val="0"/>
          <w:numId w:val="15"/>
        </w:numPr>
        <w:spacing w:line="240" w:lineRule="auto"/>
        <w:rPr>
          <w:sz w:val="24"/>
        </w:rPr>
      </w:pPr>
      <w:r w:rsidRPr="001D7706">
        <w:rPr>
          <w:sz w:val="24"/>
        </w:rPr>
        <w:t xml:space="preserve"> Ēkām, kurām plānoti renovācijas procesi, veikt ēku </w:t>
      </w:r>
      <w:proofErr w:type="spellStart"/>
      <w:r w:rsidRPr="001D7706">
        <w:rPr>
          <w:sz w:val="24"/>
        </w:rPr>
        <w:t>energoaudita</w:t>
      </w:r>
      <w:proofErr w:type="spellEnd"/>
      <w:r w:rsidRPr="001D7706">
        <w:rPr>
          <w:sz w:val="24"/>
        </w:rPr>
        <w:t xml:space="preserve"> dokumentu izstrādi,</w:t>
      </w:r>
    </w:p>
    <w:p w:rsidR="004F307F" w:rsidRPr="001D7706" w:rsidRDefault="004F307F" w:rsidP="001D7706">
      <w:pPr>
        <w:pStyle w:val="Tekstabloks"/>
        <w:numPr>
          <w:ilvl w:val="0"/>
          <w:numId w:val="15"/>
        </w:numPr>
        <w:spacing w:line="240" w:lineRule="auto"/>
        <w:rPr>
          <w:sz w:val="24"/>
        </w:rPr>
      </w:pPr>
      <w:r w:rsidRPr="001D7706">
        <w:rPr>
          <w:sz w:val="24"/>
        </w:rPr>
        <w:t xml:space="preserve"> Īstenot uz ēku renovācijām virzīto māju projektu izstrādes procesus.</w:t>
      </w:r>
      <w:r w:rsidR="001D7706" w:rsidRPr="001D7706">
        <w:rPr>
          <w:sz w:val="24"/>
        </w:rPr>
        <w:t xml:space="preserve"> </w:t>
      </w:r>
      <w:r w:rsidRPr="001D7706">
        <w:rPr>
          <w:sz w:val="24"/>
        </w:rPr>
        <w:t>Veikt daudzdzīvokļu ēku renovāciju atbilstoši kritērijiem, t.i.</w:t>
      </w:r>
      <w:r w:rsidR="001D7706" w:rsidRPr="001D7706">
        <w:rPr>
          <w:sz w:val="24"/>
        </w:rPr>
        <w:t>,</w:t>
      </w:r>
      <w:r w:rsidRPr="001D7706">
        <w:rPr>
          <w:sz w:val="24"/>
        </w:rPr>
        <w:t xml:space="preserve"> izvērtējot katras mājas iedzīvotāju, kā arī </w:t>
      </w:r>
      <w:r w:rsidRPr="001D7706">
        <w:rPr>
          <w:i/>
          <w:sz w:val="24"/>
        </w:rPr>
        <w:t>Uzņēmuma</w:t>
      </w:r>
      <w:r w:rsidRPr="001D7706">
        <w:rPr>
          <w:sz w:val="24"/>
        </w:rPr>
        <w:t xml:space="preserve"> nākamo periodu (gadu) maksātspēju.</w:t>
      </w:r>
    </w:p>
    <w:p w:rsidR="00FB097B" w:rsidRPr="001D7706" w:rsidRDefault="00FB097B" w:rsidP="00B13990">
      <w:pPr>
        <w:pStyle w:val="Tekstabloks"/>
        <w:spacing w:line="240" w:lineRule="auto"/>
        <w:ind w:left="924" w:firstLine="0"/>
        <w:rPr>
          <w:sz w:val="24"/>
        </w:rPr>
      </w:pPr>
    </w:p>
    <w:p w:rsidR="0074265C" w:rsidRPr="001D7706" w:rsidRDefault="00973DC7" w:rsidP="001D7706">
      <w:pPr>
        <w:pStyle w:val="Tekstabloks"/>
        <w:spacing w:line="240" w:lineRule="auto"/>
        <w:ind w:firstLine="360"/>
        <w:rPr>
          <w:sz w:val="24"/>
        </w:rPr>
      </w:pPr>
      <w:r w:rsidRPr="001D7706">
        <w:rPr>
          <w:sz w:val="24"/>
        </w:rPr>
        <w:t>Pamatojoties uz noteiktajiem mērķiem un uzdevumiem</w:t>
      </w:r>
      <w:r w:rsidR="00136C4A" w:rsidRPr="001D7706">
        <w:rPr>
          <w:sz w:val="24"/>
        </w:rPr>
        <w:t xml:space="preserve">, </w:t>
      </w:r>
      <w:r w:rsidR="00136C4A" w:rsidRPr="001D7706">
        <w:rPr>
          <w:i/>
          <w:iCs/>
          <w:sz w:val="24"/>
        </w:rPr>
        <w:t>Uzņēmums</w:t>
      </w:r>
      <w:r w:rsidR="00136C4A" w:rsidRPr="001D7706">
        <w:rPr>
          <w:sz w:val="24"/>
        </w:rPr>
        <w:t xml:space="preserve"> </w:t>
      </w:r>
      <w:r w:rsidR="00DB6FAE" w:rsidRPr="001D7706">
        <w:rPr>
          <w:sz w:val="24"/>
        </w:rPr>
        <w:t>nosaka</w:t>
      </w:r>
      <w:r w:rsidR="00136C4A" w:rsidRPr="001D7706">
        <w:rPr>
          <w:sz w:val="24"/>
        </w:rPr>
        <w:t xml:space="preserve"> virzienus tā</w:t>
      </w:r>
      <w:r w:rsidR="005636D3" w:rsidRPr="001D7706">
        <w:rPr>
          <w:sz w:val="24"/>
        </w:rPr>
        <w:t xml:space="preserve"> </w:t>
      </w:r>
      <w:r w:rsidR="00136C4A" w:rsidRPr="001D7706">
        <w:rPr>
          <w:sz w:val="24"/>
        </w:rPr>
        <w:t xml:space="preserve">attīstībai </w:t>
      </w:r>
      <w:r w:rsidR="0081286E" w:rsidRPr="001D7706">
        <w:rPr>
          <w:sz w:val="24"/>
        </w:rPr>
        <w:t>201</w:t>
      </w:r>
      <w:r w:rsidR="007518A0">
        <w:rPr>
          <w:sz w:val="24"/>
        </w:rPr>
        <w:t>7</w:t>
      </w:r>
      <w:r w:rsidR="0081286E" w:rsidRPr="001D7706">
        <w:rPr>
          <w:sz w:val="24"/>
        </w:rPr>
        <w:t>.-201</w:t>
      </w:r>
      <w:r w:rsidR="007518A0">
        <w:rPr>
          <w:sz w:val="24"/>
        </w:rPr>
        <w:t>9</w:t>
      </w:r>
      <w:r w:rsidR="00DB6FAE" w:rsidRPr="001D7706">
        <w:rPr>
          <w:sz w:val="24"/>
        </w:rPr>
        <w:t>.gadam</w:t>
      </w:r>
      <w:r w:rsidR="00136C4A" w:rsidRPr="001D7706">
        <w:rPr>
          <w:sz w:val="24"/>
        </w:rPr>
        <w:t>:</w:t>
      </w:r>
    </w:p>
    <w:p w:rsidR="00BA18F5" w:rsidRPr="001D7706" w:rsidRDefault="004E4BC4" w:rsidP="00011C91">
      <w:pPr>
        <w:pStyle w:val="Tekstabloks"/>
        <w:numPr>
          <w:ilvl w:val="0"/>
          <w:numId w:val="14"/>
        </w:numPr>
        <w:spacing w:line="240" w:lineRule="auto"/>
        <w:rPr>
          <w:sz w:val="24"/>
        </w:rPr>
      </w:pPr>
      <w:r w:rsidRPr="001D7706">
        <w:rPr>
          <w:sz w:val="24"/>
        </w:rPr>
        <w:t>Sekot un kvalitatīvi uzturēt Eiropas Savienības Kohēzijas fonda projekta</w:t>
      </w:r>
      <w:r w:rsidR="005636D3" w:rsidRPr="001D7706">
        <w:rPr>
          <w:sz w:val="24"/>
        </w:rPr>
        <w:t xml:space="preserve"> „</w:t>
      </w:r>
      <w:r w:rsidRPr="001D7706">
        <w:rPr>
          <w:sz w:val="24"/>
        </w:rPr>
        <w:t>Šķeldas katlu mājas modernizācija Koknesē”</w:t>
      </w:r>
      <w:r w:rsidR="00BA18F5" w:rsidRPr="001D7706">
        <w:rPr>
          <w:sz w:val="24"/>
        </w:rPr>
        <w:t xml:space="preserve"> darbības procesu un pilnībā izmantot jauno tehnoloģiju un iekārtu iespējas.</w:t>
      </w:r>
    </w:p>
    <w:p w:rsidR="00DB6FAE" w:rsidRPr="007C514C" w:rsidRDefault="00BA18F5" w:rsidP="00011C91">
      <w:pPr>
        <w:pStyle w:val="Tekstabloks"/>
        <w:numPr>
          <w:ilvl w:val="0"/>
          <w:numId w:val="14"/>
        </w:numPr>
        <w:spacing w:line="240" w:lineRule="auto"/>
        <w:rPr>
          <w:sz w:val="24"/>
        </w:rPr>
      </w:pPr>
      <w:r w:rsidRPr="001D7706">
        <w:rPr>
          <w:sz w:val="24"/>
        </w:rPr>
        <w:t>U</w:t>
      </w:r>
      <w:r w:rsidR="00067F73" w:rsidRPr="001D7706">
        <w:rPr>
          <w:sz w:val="24"/>
        </w:rPr>
        <w:t>zturēt labā kvalitātē</w:t>
      </w:r>
      <w:r w:rsidR="00DB6FAE" w:rsidRPr="001D7706">
        <w:rPr>
          <w:sz w:val="24"/>
        </w:rPr>
        <w:t xml:space="preserve"> ES Kohēzijas fonda projekt</w:t>
      </w:r>
      <w:r w:rsidR="00067F73" w:rsidRPr="001D7706">
        <w:rPr>
          <w:sz w:val="24"/>
        </w:rPr>
        <w:t>a</w:t>
      </w:r>
      <w:r w:rsidR="00DB6FAE" w:rsidRPr="001D7706">
        <w:rPr>
          <w:sz w:val="24"/>
        </w:rPr>
        <w:t xml:space="preserve"> ūdens</w:t>
      </w:r>
      <w:r w:rsidR="00DB6FAE" w:rsidRPr="007C514C">
        <w:rPr>
          <w:sz w:val="24"/>
        </w:rPr>
        <w:t xml:space="preserve"> un notekūdeņu attīrīšanas </w:t>
      </w:r>
      <w:r w:rsidR="00742951" w:rsidRPr="007C514C">
        <w:rPr>
          <w:sz w:val="24"/>
        </w:rPr>
        <w:t>darbību</w:t>
      </w:r>
      <w:r w:rsidR="00DB6FAE" w:rsidRPr="007C514C">
        <w:rPr>
          <w:sz w:val="24"/>
        </w:rPr>
        <w:t xml:space="preserve"> un pilnībā izmantot jauno iekārtu iespējas.</w:t>
      </w:r>
    </w:p>
    <w:p w:rsidR="00136C4A" w:rsidRPr="007C514C" w:rsidRDefault="00BA18F5" w:rsidP="00011C91">
      <w:pPr>
        <w:pStyle w:val="Tekstabloks"/>
        <w:numPr>
          <w:ilvl w:val="0"/>
          <w:numId w:val="14"/>
        </w:numPr>
        <w:spacing w:line="240" w:lineRule="auto"/>
        <w:rPr>
          <w:sz w:val="24"/>
        </w:rPr>
      </w:pPr>
      <w:r w:rsidRPr="007C514C">
        <w:rPr>
          <w:sz w:val="24"/>
        </w:rPr>
        <w:t>P</w:t>
      </w:r>
      <w:r w:rsidR="00DB6FAE" w:rsidRPr="007C514C">
        <w:rPr>
          <w:sz w:val="24"/>
        </w:rPr>
        <w:t>ilnveidot</w:t>
      </w:r>
      <w:r w:rsidR="00136C4A" w:rsidRPr="007C514C">
        <w:rPr>
          <w:sz w:val="24"/>
        </w:rPr>
        <w:t xml:space="preserve"> profesionālu un kvalitatīvu </w:t>
      </w:r>
      <w:r w:rsidR="00FB4D37" w:rsidRPr="007C514C">
        <w:rPr>
          <w:sz w:val="24"/>
        </w:rPr>
        <w:t>pakalpojumu sniegšanu</w:t>
      </w:r>
      <w:r w:rsidR="00136C4A" w:rsidRPr="007C514C">
        <w:rPr>
          <w:sz w:val="24"/>
        </w:rPr>
        <w:t>:</w:t>
      </w:r>
    </w:p>
    <w:p w:rsidR="00136C4A" w:rsidRPr="007C514C" w:rsidRDefault="00FB4D37" w:rsidP="00011C91">
      <w:pPr>
        <w:pStyle w:val="Tekstabloks"/>
        <w:numPr>
          <w:ilvl w:val="0"/>
          <w:numId w:val="8"/>
        </w:numPr>
        <w:tabs>
          <w:tab w:val="clear" w:pos="927"/>
        </w:tabs>
        <w:spacing w:line="240" w:lineRule="auto"/>
        <w:ind w:left="1440" w:hanging="540"/>
        <w:rPr>
          <w:sz w:val="24"/>
        </w:rPr>
      </w:pPr>
      <w:r w:rsidRPr="007C514C">
        <w:rPr>
          <w:sz w:val="24"/>
        </w:rPr>
        <w:t xml:space="preserve">veikt </w:t>
      </w:r>
      <w:r w:rsidR="00136C4A" w:rsidRPr="007C514C">
        <w:rPr>
          <w:sz w:val="24"/>
        </w:rPr>
        <w:t>tehnoloģisko iekārtu un darba līdzekļu modernizāciju, kas ievērojami paaugstinās darba līdzekļu izmantošanas efektivitāti;</w:t>
      </w:r>
    </w:p>
    <w:p w:rsidR="00136C4A" w:rsidRPr="007C514C" w:rsidRDefault="00136C4A" w:rsidP="00011C91">
      <w:pPr>
        <w:pStyle w:val="Tekstabloks"/>
        <w:numPr>
          <w:ilvl w:val="0"/>
          <w:numId w:val="8"/>
        </w:numPr>
        <w:tabs>
          <w:tab w:val="clear" w:pos="927"/>
        </w:tabs>
        <w:spacing w:line="240" w:lineRule="auto"/>
        <w:ind w:left="1440" w:hanging="540"/>
        <w:rPr>
          <w:sz w:val="24"/>
        </w:rPr>
      </w:pPr>
      <w:r w:rsidRPr="007C514C">
        <w:rPr>
          <w:sz w:val="24"/>
        </w:rPr>
        <w:t>optimizēt transporta līdzekļu izmantošanu, nodrošinot lielāku rentabilitāti.</w:t>
      </w:r>
    </w:p>
    <w:p w:rsidR="00136C4A" w:rsidRPr="007C514C" w:rsidRDefault="00BA18F5" w:rsidP="00011C91">
      <w:pPr>
        <w:pStyle w:val="Tekstabloks"/>
        <w:numPr>
          <w:ilvl w:val="0"/>
          <w:numId w:val="14"/>
        </w:numPr>
        <w:spacing w:line="240" w:lineRule="auto"/>
        <w:rPr>
          <w:sz w:val="24"/>
        </w:rPr>
      </w:pPr>
      <w:r w:rsidRPr="007C514C">
        <w:rPr>
          <w:sz w:val="24"/>
        </w:rPr>
        <w:t>Attīstīt</w:t>
      </w:r>
      <w:r w:rsidR="00136C4A" w:rsidRPr="007C514C">
        <w:rPr>
          <w:sz w:val="24"/>
        </w:rPr>
        <w:t xml:space="preserve"> sadarbības formas ar </w:t>
      </w:r>
      <w:r w:rsidR="001E7E1D" w:rsidRPr="007C514C">
        <w:rPr>
          <w:sz w:val="24"/>
        </w:rPr>
        <w:t xml:space="preserve">māju vecākajiem, </w:t>
      </w:r>
      <w:r w:rsidR="00136C4A" w:rsidRPr="007C514C">
        <w:rPr>
          <w:sz w:val="24"/>
        </w:rPr>
        <w:t xml:space="preserve">dzīvokļu īpašniekiem. </w:t>
      </w:r>
    </w:p>
    <w:p w:rsidR="00136C4A" w:rsidRPr="00920C23" w:rsidRDefault="00B00050" w:rsidP="00011C91">
      <w:pPr>
        <w:pStyle w:val="Tekstabloks"/>
        <w:numPr>
          <w:ilvl w:val="0"/>
          <w:numId w:val="14"/>
        </w:numPr>
        <w:spacing w:line="240" w:lineRule="auto"/>
        <w:rPr>
          <w:sz w:val="24"/>
        </w:rPr>
      </w:pPr>
      <w:r w:rsidRPr="007C514C">
        <w:rPr>
          <w:sz w:val="24"/>
        </w:rPr>
        <w:t>S</w:t>
      </w:r>
      <w:r w:rsidR="00A96D9A" w:rsidRPr="007C514C">
        <w:rPr>
          <w:sz w:val="24"/>
        </w:rPr>
        <w:t xml:space="preserve">ekot </w:t>
      </w:r>
      <w:r w:rsidR="00136C4A" w:rsidRPr="007C514C">
        <w:rPr>
          <w:sz w:val="24"/>
        </w:rPr>
        <w:t>dzīvojamo namu</w:t>
      </w:r>
      <w:r w:rsidR="00136C4A" w:rsidRPr="00920C23">
        <w:rPr>
          <w:sz w:val="24"/>
        </w:rPr>
        <w:t xml:space="preserve"> tehniskās uzturēšanas uzskaites programmas</w:t>
      </w:r>
      <w:r w:rsidR="00A96D9A" w:rsidRPr="00920C23">
        <w:rPr>
          <w:sz w:val="24"/>
        </w:rPr>
        <w:t xml:space="preserve"> darbībai</w:t>
      </w:r>
      <w:r w:rsidR="00136C4A" w:rsidRPr="00920C23">
        <w:rPr>
          <w:sz w:val="24"/>
        </w:rPr>
        <w:t>, nodrošinot iekšējo procesu efektivitāti un sakārtošanu</w:t>
      </w:r>
      <w:r w:rsidR="00491055" w:rsidRPr="00920C23">
        <w:rPr>
          <w:sz w:val="24"/>
        </w:rPr>
        <w:t>. Programmā iespējams sagatavot pārskatu par iepriekšējā kalendāra gadā aprēķināto maksu un izlietotajiem naudas līdzekļiem. Visi ieņēmumi un izdevumi tiks uzskaitīti pakalpojumu kontos, saskaņā ar Ministru kabineta noteikumiem Nr.</w:t>
      </w:r>
      <w:r w:rsidR="00D2016E">
        <w:rPr>
          <w:sz w:val="24"/>
        </w:rPr>
        <w:t>408</w:t>
      </w:r>
      <w:r w:rsidR="00491055" w:rsidRPr="00920C23">
        <w:rPr>
          <w:sz w:val="24"/>
        </w:rPr>
        <w:t xml:space="preserve">. </w:t>
      </w:r>
    </w:p>
    <w:p w:rsidR="00DA4405" w:rsidRDefault="00BA18F5" w:rsidP="00011C91">
      <w:pPr>
        <w:pStyle w:val="Tekstabloks"/>
        <w:numPr>
          <w:ilvl w:val="0"/>
          <w:numId w:val="14"/>
        </w:numPr>
        <w:spacing w:line="240" w:lineRule="auto"/>
        <w:rPr>
          <w:sz w:val="24"/>
        </w:rPr>
      </w:pPr>
      <w:r w:rsidRPr="00920C23">
        <w:rPr>
          <w:sz w:val="24"/>
        </w:rPr>
        <w:t>S</w:t>
      </w:r>
      <w:r w:rsidR="00770939" w:rsidRPr="00920C23">
        <w:rPr>
          <w:sz w:val="24"/>
        </w:rPr>
        <w:t>ekot</w:t>
      </w:r>
      <w:r w:rsidR="00DA4405" w:rsidRPr="00920C23">
        <w:rPr>
          <w:sz w:val="24"/>
        </w:rPr>
        <w:t xml:space="preserve"> </w:t>
      </w:r>
      <w:r w:rsidR="00DA4405" w:rsidRPr="00920C23">
        <w:rPr>
          <w:i/>
          <w:sz w:val="24"/>
        </w:rPr>
        <w:t>Uzņēmuma</w:t>
      </w:r>
      <w:r w:rsidR="00DA4405" w:rsidRPr="00920C23">
        <w:rPr>
          <w:sz w:val="24"/>
        </w:rPr>
        <w:t xml:space="preserve"> materiālo un finanšu līdzekļu </w:t>
      </w:r>
      <w:r w:rsidR="004C2741" w:rsidRPr="00920C23">
        <w:rPr>
          <w:sz w:val="24"/>
        </w:rPr>
        <w:t>ekonomiskai</w:t>
      </w:r>
      <w:r w:rsidR="00DA4405" w:rsidRPr="00920C23">
        <w:rPr>
          <w:sz w:val="24"/>
        </w:rPr>
        <w:t xml:space="preserve"> izmantošanai.</w:t>
      </w:r>
    </w:p>
    <w:p w:rsidR="001D7706" w:rsidRDefault="001D7706" w:rsidP="002E46C2">
      <w:pPr>
        <w:jc w:val="center"/>
        <w:rPr>
          <w:b/>
          <w:sz w:val="28"/>
          <w:szCs w:val="28"/>
        </w:rPr>
      </w:pPr>
    </w:p>
    <w:p w:rsidR="002E46C2" w:rsidRDefault="002E46C2" w:rsidP="000D1ADD">
      <w:pPr>
        <w:pStyle w:val="Virsraksts1"/>
      </w:pPr>
      <w:bookmarkStart w:id="15" w:name="_Toc498420727"/>
      <w:r w:rsidRPr="00920C23">
        <w:rPr>
          <w:i/>
        </w:rPr>
        <w:t>Uzņēmuma</w:t>
      </w:r>
      <w:r w:rsidRPr="00920C23">
        <w:t xml:space="preserve"> finanšu plāns 201</w:t>
      </w:r>
      <w:r w:rsidR="003D0AED">
        <w:t>7</w:t>
      </w:r>
      <w:r w:rsidRPr="00920C23">
        <w:t>.- 201</w:t>
      </w:r>
      <w:r w:rsidR="003D0AED">
        <w:t>9</w:t>
      </w:r>
      <w:r w:rsidRPr="00920C23">
        <w:t>.gadam pa struktūrvienībām</w:t>
      </w:r>
      <w:bookmarkEnd w:id="15"/>
    </w:p>
    <w:p w:rsidR="008922BA" w:rsidRDefault="008922BA" w:rsidP="008922BA">
      <w:pPr>
        <w:rPr>
          <w:b/>
          <w:sz w:val="28"/>
          <w:szCs w:val="28"/>
        </w:rPr>
      </w:pPr>
    </w:p>
    <w:p w:rsidR="002E46C2" w:rsidRPr="00920C23" w:rsidRDefault="002E46C2" w:rsidP="002E46C2">
      <w:pPr>
        <w:jc w:val="right"/>
        <w:rPr>
          <w:sz w:val="20"/>
          <w:szCs w:val="20"/>
        </w:rPr>
      </w:pPr>
      <w:r w:rsidRPr="00920C23">
        <w:rPr>
          <w:sz w:val="20"/>
          <w:szCs w:val="20"/>
        </w:rPr>
        <w:t>tabula Nr.3</w:t>
      </w:r>
    </w:p>
    <w:tbl>
      <w:tblPr>
        <w:tblW w:w="9124" w:type="dxa"/>
        <w:jc w:val="center"/>
        <w:tblLook w:val="0000" w:firstRow="0" w:lastRow="0" w:firstColumn="0" w:lastColumn="0" w:noHBand="0" w:noVBand="0"/>
      </w:tblPr>
      <w:tblGrid>
        <w:gridCol w:w="4751"/>
        <w:gridCol w:w="1513"/>
        <w:gridCol w:w="1418"/>
        <w:gridCol w:w="1442"/>
      </w:tblGrid>
      <w:tr w:rsidR="00E57EDF" w:rsidRPr="00920C23" w:rsidTr="00E57EDF">
        <w:trPr>
          <w:trHeight w:val="255"/>
          <w:jc w:val="center"/>
        </w:trPr>
        <w:tc>
          <w:tcPr>
            <w:tcW w:w="4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pPr>
              <w:jc w:val="center"/>
              <w:rPr>
                <w:b/>
              </w:rPr>
            </w:pPr>
            <w:r w:rsidRPr="00920C23">
              <w:rPr>
                <w:b/>
              </w:rPr>
              <w:t>Ieņēmumi struktū</w:t>
            </w:r>
            <w:r>
              <w:rPr>
                <w:b/>
              </w:rPr>
              <w:t>r</w:t>
            </w:r>
            <w:r w:rsidRPr="00920C23">
              <w:rPr>
                <w:b/>
              </w:rPr>
              <w:t>vienībā</w:t>
            </w:r>
          </w:p>
        </w:tc>
        <w:tc>
          <w:tcPr>
            <w:tcW w:w="1513" w:type="dxa"/>
            <w:tcBorders>
              <w:top w:val="single" w:sz="4" w:space="0" w:color="auto"/>
              <w:left w:val="nil"/>
              <w:bottom w:val="single" w:sz="4" w:space="0" w:color="auto"/>
              <w:right w:val="nil"/>
            </w:tcBorders>
            <w:vAlign w:val="bottom"/>
          </w:tcPr>
          <w:p w:rsidR="00E57EDF" w:rsidRPr="00920C23" w:rsidRDefault="00E57EDF" w:rsidP="00E57EDF">
            <w:pPr>
              <w:jc w:val="center"/>
              <w:rPr>
                <w:b/>
              </w:rPr>
            </w:pPr>
            <w:r w:rsidRPr="00920C23">
              <w:rPr>
                <w:b/>
              </w:rPr>
              <w:t>2017.gads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E57EDF">
            <w:pPr>
              <w:jc w:val="center"/>
              <w:rPr>
                <w:b/>
              </w:rPr>
            </w:pPr>
            <w:r>
              <w:rPr>
                <w:b/>
              </w:rPr>
              <w:t>2018</w:t>
            </w:r>
            <w:r w:rsidRPr="00920C23">
              <w:rPr>
                <w:b/>
              </w:rPr>
              <w:t>.gads</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E57EDF" w:rsidRPr="00920C23" w:rsidRDefault="00E57EDF" w:rsidP="00E57EDF">
            <w:pPr>
              <w:jc w:val="center"/>
              <w:rPr>
                <w:b/>
              </w:rPr>
            </w:pPr>
            <w:r>
              <w:rPr>
                <w:b/>
              </w:rPr>
              <w:t>2019</w:t>
            </w:r>
            <w:r w:rsidRPr="00920C23">
              <w:rPr>
                <w:b/>
              </w:rPr>
              <w:t>.gads</w:t>
            </w:r>
          </w:p>
        </w:tc>
      </w:tr>
      <w:tr w:rsidR="00E57EDF" w:rsidRPr="00920C23" w:rsidTr="00E57EDF">
        <w:trPr>
          <w:trHeight w:val="255"/>
          <w:jc w:val="center"/>
        </w:trPr>
        <w:tc>
          <w:tcPr>
            <w:tcW w:w="4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r w:rsidRPr="00920C23">
              <w:t>S</w:t>
            </w:r>
            <w:r w:rsidRPr="00920C23">
              <w:rPr>
                <w:bCs/>
                <w:iCs/>
              </w:rPr>
              <w:t>iltums</w:t>
            </w:r>
          </w:p>
        </w:tc>
        <w:tc>
          <w:tcPr>
            <w:tcW w:w="1513" w:type="dxa"/>
            <w:tcBorders>
              <w:top w:val="single" w:sz="4" w:space="0" w:color="auto"/>
              <w:left w:val="nil"/>
              <w:bottom w:val="single" w:sz="4" w:space="0" w:color="auto"/>
              <w:right w:val="nil"/>
            </w:tcBorders>
            <w:vAlign w:val="bottom"/>
          </w:tcPr>
          <w:p w:rsidR="00E57EDF" w:rsidRPr="00920C23" w:rsidRDefault="00E57EDF" w:rsidP="00E57EDF">
            <w:pPr>
              <w:jc w:val="right"/>
            </w:pPr>
            <w:r w:rsidRPr="00920C23">
              <w:t>3</w:t>
            </w:r>
            <w:r>
              <w:t>6</w:t>
            </w:r>
            <w:r w:rsidRPr="00920C23">
              <w:t>5.</w:t>
            </w:r>
            <w: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pPr>
              <w:jc w:val="right"/>
            </w:pPr>
            <w:r>
              <w:t>363.0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E57EDF" w:rsidRPr="00920C23" w:rsidRDefault="00E57EDF" w:rsidP="00E57EDF">
            <w:pPr>
              <w:jc w:val="right"/>
            </w:pPr>
            <w:r w:rsidRPr="00920C23">
              <w:t>3</w:t>
            </w:r>
            <w:r>
              <w:t>60.0</w:t>
            </w:r>
          </w:p>
        </w:tc>
      </w:tr>
      <w:tr w:rsidR="00E57EDF" w:rsidRPr="00920C23" w:rsidTr="00E57EDF">
        <w:trPr>
          <w:trHeight w:val="255"/>
          <w:jc w:val="center"/>
        </w:trPr>
        <w:tc>
          <w:tcPr>
            <w:tcW w:w="4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r w:rsidRPr="00920C23">
              <w:t>Ūdens</w:t>
            </w:r>
          </w:p>
        </w:tc>
        <w:tc>
          <w:tcPr>
            <w:tcW w:w="1513" w:type="dxa"/>
            <w:tcBorders>
              <w:top w:val="single" w:sz="4" w:space="0" w:color="auto"/>
              <w:left w:val="nil"/>
              <w:bottom w:val="single" w:sz="4" w:space="0" w:color="auto"/>
              <w:right w:val="nil"/>
            </w:tcBorders>
            <w:vAlign w:val="bottom"/>
          </w:tcPr>
          <w:p w:rsidR="00E57EDF" w:rsidRPr="00920C23" w:rsidRDefault="00E57EDF" w:rsidP="00E57EDF">
            <w:pPr>
              <w:jc w:val="right"/>
            </w:pPr>
            <w:r w:rsidRPr="00920C23">
              <w:t>4</w:t>
            </w:r>
            <w:r>
              <w:t>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pPr>
              <w:jc w:val="right"/>
            </w:pPr>
            <w:r>
              <w:t>46.3</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E57EDF" w:rsidRPr="00920C23" w:rsidRDefault="00E57EDF" w:rsidP="00E57EDF">
            <w:pPr>
              <w:jc w:val="right"/>
            </w:pPr>
            <w:r w:rsidRPr="00920C23">
              <w:t>4</w:t>
            </w:r>
            <w:r>
              <w:t>6.5</w:t>
            </w:r>
          </w:p>
        </w:tc>
      </w:tr>
      <w:tr w:rsidR="00E57EDF" w:rsidRPr="00920C23" w:rsidTr="00E57EDF">
        <w:trPr>
          <w:trHeight w:val="255"/>
          <w:jc w:val="center"/>
        </w:trPr>
        <w:tc>
          <w:tcPr>
            <w:tcW w:w="4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r w:rsidRPr="00920C23">
              <w:t>Kanalizācija</w:t>
            </w:r>
          </w:p>
        </w:tc>
        <w:tc>
          <w:tcPr>
            <w:tcW w:w="1513" w:type="dxa"/>
            <w:tcBorders>
              <w:top w:val="single" w:sz="4" w:space="0" w:color="auto"/>
              <w:left w:val="nil"/>
              <w:bottom w:val="single" w:sz="4" w:space="0" w:color="auto"/>
              <w:right w:val="nil"/>
            </w:tcBorders>
            <w:vAlign w:val="bottom"/>
          </w:tcPr>
          <w:p w:rsidR="00E57EDF" w:rsidRPr="00920C23" w:rsidRDefault="00E57EDF" w:rsidP="009A2A2A">
            <w:pPr>
              <w:jc w:val="right"/>
            </w:pPr>
            <w:r>
              <w:t>75.6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pPr>
              <w:jc w:val="right"/>
            </w:pPr>
            <w:r>
              <w:t>76.0</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E57EDF" w:rsidRPr="00920C23" w:rsidRDefault="00E57EDF" w:rsidP="00960F80">
            <w:pPr>
              <w:jc w:val="right"/>
            </w:pPr>
            <w:r>
              <w:t>76.2</w:t>
            </w:r>
          </w:p>
        </w:tc>
      </w:tr>
      <w:tr w:rsidR="00E57EDF" w:rsidRPr="00920C23" w:rsidTr="00E57EDF">
        <w:trPr>
          <w:trHeight w:val="255"/>
          <w:jc w:val="center"/>
        </w:trPr>
        <w:tc>
          <w:tcPr>
            <w:tcW w:w="4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r w:rsidRPr="00920C23">
              <w:t>Apsaimniekošana</w:t>
            </w:r>
          </w:p>
        </w:tc>
        <w:tc>
          <w:tcPr>
            <w:tcW w:w="1513" w:type="dxa"/>
            <w:tcBorders>
              <w:top w:val="single" w:sz="4" w:space="0" w:color="auto"/>
              <w:left w:val="nil"/>
              <w:bottom w:val="single" w:sz="4" w:space="0" w:color="auto"/>
              <w:right w:val="nil"/>
            </w:tcBorders>
            <w:vAlign w:val="bottom"/>
          </w:tcPr>
          <w:p w:rsidR="00E57EDF" w:rsidRPr="00920C23" w:rsidRDefault="00E57EDF" w:rsidP="009A2A2A">
            <w:pPr>
              <w:jc w:val="right"/>
            </w:pPr>
            <w:r>
              <w:t>195.2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pPr>
              <w:jc w:val="right"/>
            </w:pPr>
            <w:r>
              <w:t>203.3</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E57EDF" w:rsidRPr="00920C23" w:rsidRDefault="00E57EDF" w:rsidP="00960F80">
            <w:pPr>
              <w:jc w:val="right"/>
            </w:pPr>
            <w:r>
              <w:t>205.8</w:t>
            </w:r>
          </w:p>
        </w:tc>
      </w:tr>
      <w:tr w:rsidR="00E57EDF" w:rsidRPr="00920C23" w:rsidTr="00E57EDF">
        <w:trPr>
          <w:trHeight w:val="255"/>
          <w:jc w:val="center"/>
        </w:trPr>
        <w:tc>
          <w:tcPr>
            <w:tcW w:w="4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r w:rsidRPr="00920C23">
              <w:t xml:space="preserve">Koģenerācija </w:t>
            </w:r>
          </w:p>
        </w:tc>
        <w:tc>
          <w:tcPr>
            <w:tcW w:w="1513" w:type="dxa"/>
            <w:tcBorders>
              <w:top w:val="single" w:sz="4" w:space="0" w:color="auto"/>
              <w:left w:val="nil"/>
              <w:bottom w:val="single" w:sz="4" w:space="0" w:color="auto"/>
              <w:right w:val="nil"/>
            </w:tcBorders>
            <w:vAlign w:val="bottom"/>
          </w:tcPr>
          <w:p w:rsidR="00E57EDF" w:rsidRPr="00613944" w:rsidRDefault="00AB4654" w:rsidP="009A2A2A">
            <w:pPr>
              <w:jc w:val="right"/>
            </w:pPr>
            <w:r w:rsidRPr="00613944">
              <w:t>198</w:t>
            </w:r>
            <w:r w:rsidR="00B1033E" w:rsidRPr="00613944">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613944" w:rsidRDefault="00B1033E" w:rsidP="00960F80">
            <w:pPr>
              <w:jc w:val="right"/>
            </w:pPr>
            <w:r w:rsidRPr="00613944">
              <w:t>82.8</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E57EDF" w:rsidRPr="00613944" w:rsidRDefault="00B1033E" w:rsidP="00E57EDF">
            <w:pPr>
              <w:jc w:val="right"/>
            </w:pPr>
            <w:r w:rsidRPr="00613944">
              <w:t>15.3</w:t>
            </w:r>
          </w:p>
        </w:tc>
      </w:tr>
      <w:tr w:rsidR="00E57EDF" w:rsidRPr="00920C23" w:rsidTr="00E57EDF">
        <w:trPr>
          <w:trHeight w:val="255"/>
          <w:jc w:val="center"/>
        </w:trPr>
        <w:tc>
          <w:tcPr>
            <w:tcW w:w="4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r w:rsidRPr="00920C23">
              <w:t>Atkritumi</w:t>
            </w:r>
          </w:p>
        </w:tc>
        <w:tc>
          <w:tcPr>
            <w:tcW w:w="1513" w:type="dxa"/>
            <w:tcBorders>
              <w:top w:val="single" w:sz="4" w:space="0" w:color="auto"/>
              <w:left w:val="nil"/>
              <w:bottom w:val="single" w:sz="4" w:space="0" w:color="auto"/>
              <w:right w:val="nil"/>
            </w:tcBorders>
            <w:vAlign w:val="bottom"/>
          </w:tcPr>
          <w:p w:rsidR="00E57EDF" w:rsidRPr="00920C23" w:rsidRDefault="00E57EDF" w:rsidP="00E57EDF">
            <w:pPr>
              <w:jc w:val="right"/>
            </w:pPr>
            <w:r w:rsidRPr="00920C23">
              <w:t>29.</w:t>
            </w:r>
            <w: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pPr>
              <w:jc w:val="right"/>
            </w:pPr>
            <w:r>
              <w:t>29.3</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E57EDF" w:rsidRPr="00920C23" w:rsidRDefault="00E57EDF" w:rsidP="00960F80">
            <w:pPr>
              <w:jc w:val="right"/>
            </w:pPr>
            <w:r w:rsidRPr="00920C23">
              <w:t>29.</w:t>
            </w:r>
            <w:r>
              <w:t>5</w:t>
            </w:r>
          </w:p>
        </w:tc>
      </w:tr>
      <w:tr w:rsidR="00E57EDF" w:rsidRPr="00920C23" w:rsidTr="00E57EDF">
        <w:trPr>
          <w:trHeight w:val="255"/>
          <w:jc w:val="center"/>
        </w:trPr>
        <w:tc>
          <w:tcPr>
            <w:tcW w:w="4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r w:rsidRPr="00920C23">
              <w:t>Pārējie</w:t>
            </w:r>
          </w:p>
        </w:tc>
        <w:tc>
          <w:tcPr>
            <w:tcW w:w="1513" w:type="dxa"/>
            <w:tcBorders>
              <w:top w:val="single" w:sz="4" w:space="0" w:color="auto"/>
              <w:left w:val="nil"/>
              <w:bottom w:val="single" w:sz="4" w:space="0" w:color="auto"/>
              <w:right w:val="nil"/>
            </w:tcBorders>
            <w:vAlign w:val="bottom"/>
          </w:tcPr>
          <w:p w:rsidR="00E57EDF" w:rsidRPr="00920C23" w:rsidRDefault="00E57EDF" w:rsidP="009A2A2A">
            <w:pPr>
              <w:jc w:val="right"/>
            </w:pPr>
            <w:r>
              <w:t>69.3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EDF" w:rsidRPr="00920C23" w:rsidRDefault="00E57EDF" w:rsidP="00960F80">
            <w:pPr>
              <w:jc w:val="right"/>
            </w:pPr>
            <w:r>
              <w:t>84.2</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E57EDF" w:rsidRPr="00920C23" w:rsidRDefault="00E57EDF" w:rsidP="00E57EDF">
            <w:pPr>
              <w:jc w:val="right"/>
            </w:pPr>
            <w:r>
              <w:t>71.4</w:t>
            </w:r>
          </w:p>
        </w:tc>
      </w:tr>
      <w:tr w:rsidR="00A25750" w:rsidRPr="00920C23" w:rsidTr="00E57EDF">
        <w:trPr>
          <w:trHeight w:val="255"/>
          <w:jc w:val="center"/>
        </w:trPr>
        <w:tc>
          <w:tcPr>
            <w:tcW w:w="4751" w:type="dxa"/>
            <w:tcBorders>
              <w:top w:val="nil"/>
              <w:left w:val="single" w:sz="4" w:space="0" w:color="auto"/>
              <w:bottom w:val="single" w:sz="4" w:space="0" w:color="auto"/>
              <w:right w:val="single" w:sz="4" w:space="0" w:color="auto"/>
            </w:tcBorders>
            <w:shd w:val="clear" w:color="auto" w:fill="auto"/>
            <w:noWrap/>
            <w:vAlign w:val="bottom"/>
          </w:tcPr>
          <w:p w:rsidR="00A25750" w:rsidRPr="00920C23" w:rsidRDefault="00A25750" w:rsidP="005636D3">
            <w:pPr>
              <w:jc w:val="center"/>
              <w:rPr>
                <w:b/>
              </w:rPr>
            </w:pPr>
            <w:r w:rsidRPr="00920C23">
              <w:rPr>
                <w:b/>
              </w:rPr>
              <w:t>KOPĀ</w:t>
            </w:r>
            <w:r>
              <w:rPr>
                <w:b/>
              </w:rPr>
              <w:t xml:space="preserve"> </w:t>
            </w:r>
            <w:r w:rsidRPr="00920C23">
              <w:t xml:space="preserve">(tūkst. </w:t>
            </w:r>
            <w:r>
              <w:t>EUR</w:t>
            </w:r>
            <w:r w:rsidRPr="00920C23">
              <w:t>)</w:t>
            </w:r>
          </w:p>
        </w:tc>
        <w:tc>
          <w:tcPr>
            <w:tcW w:w="1513" w:type="dxa"/>
            <w:tcBorders>
              <w:top w:val="single" w:sz="4" w:space="0" w:color="auto"/>
              <w:left w:val="nil"/>
              <w:bottom w:val="single" w:sz="4" w:space="0" w:color="auto"/>
              <w:right w:val="nil"/>
            </w:tcBorders>
            <w:vAlign w:val="bottom"/>
          </w:tcPr>
          <w:p w:rsidR="00A25750" w:rsidRDefault="00A25750">
            <w:pPr>
              <w:jc w:val="right"/>
              <w:rPr>
                <w:b/>
                <w:bCs/>
                <w:color w:val="000000"/>
              </w:rPr>
            </w:pPr>
            <w:r>
              <w:rPr>
                <w:b/>
                <w:bCs/>
                <w:color w:val="000000"/>
              </w:rPr>
              <w:t>979.5</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25750" w:rsidRDefault="00A25750">
            <w:pPr>
              <w:jc w:val="right"/>
              <w:rPr>
                <w:b/>
                <w:bCs/>
                <w:color w:val="000000"/>
              </w:rPr>
            </w:pPr>
            <w:r>
              <w:rPr>
                <w:b/>
                <w:bCs/>
                <w:color w:val="000000"/>
              </w:rPr>
              <w:t>884.9</w:t>
            </w:r>
          </w:p>
        </w:tc>
        <w:tc>
          <w:tcPr>
            <w:tcW w:w="1442" w:type="dxa"/>
            <w:tcBorders>
              <w:top w:val="nil"/>
              <w:left w:val="nil"/>
              <w:bottom w:val="single" w:sz="4" w:space="0" w:color="auto"/>
              <w:right w:val="single" w:sz="4" w:space="0" w:color="auto"/>
            </w:tcBorders>
            <w:shd w:val="clear" w:color="auto" w:fill="auto"/>
            <w:noWrap/>
            <w:vAlign w:val="bottom"/>
          </w:tcPr>
          <w:p w:rsidR="00A25750" w:rsidRDefault="00A25750">
            <w:pPr>
              <w:jc w:val="right"/>
              <w:rPr>
                <w:b/>
                <w:bCs/>
                <w:color w:val="000000"/>
              </w:rPr>
            </w:pPr>
            <w:r>
              <w:rPr>
                <w:b/>
                <w:bCs/>
                <w:color w:val="000000"/>
              </w:rPr>
              <w:t>804.7</w:t>
            </w:r>
          </w:p>
        </w:tc>
      </w:tr>
    </w:tbl>
    <w:p w:rsidR="008922BA" w:rsidRDefault="008922BA" w:rsidP="002E46C2">
      <w:pPr>
        <w:pStyle w:val="Paraststmeklis"/>
        <w:ind w:right="71"/>
        <w:jc w:val="both"/>
        <w:rPr>
          <w:rFonts w:cs="Tahoma"/>
        </w:rPr>
      </w:pPr>
    </w:p>
    <w:p w:rsidR="0055131E" w:rsidRDefault="0055131E" w:rsidP="002E46C2">
      <w:pPr>
        <w:pStyle w:val="Paraststmeklis"/>
        <w:ind w:right="71"/>
        <w:jc w:val="both"/>
        <w:rPr>
          <w:rFonts w:cs="Tahoma"/>
        </w:rPr>
      </w:pPr>
    </w:p>
    <w:p w:rsidR="00613944" w:rsidRDefault="00613944" w:rsidP="002E46C2">
      <w:pPr>
        <w:pStyle w:val="Paraststmeklis"/>
        <w:ind w:right="71"/>
        <w:jc w:val="both"/>
        <w:rPr>
          <w:rFonts w:cs="Tahoma"/>
        </w:rPr>
      </w:pPr>
    </w:p>
    <w:p w:rsidR="008922BA" w:rsidRDefault="008922BA" w:rsidP="002E46C2">
      <w:pPr>
        <w:pStyle w:val="Paraststmeklis"/>
        <w:ind w:right="71"/>
        <w:jc w:val="both"/>
        <w:rPr>
          <w:rFonts w:cs="Tahoma"/>
        </w:rPr>
      </w:pPr>
    </w:p>
    <w:p w:rsidR="0055131E" w:rsidRDefault="0055131E" w:rsidP="002E46C2">
      <w:pPr>
        <w:pStyle w:val="Paraststmeklis"/>
        <w:ind w:right="71"/>
        <w:jc w:val="both"/>
        <w:rPr>
          <w:rFonts w:cs="Tahoma"/>
        </w:rPr>
      </w:pPr>
      <w:r w:rsidRPr="0055131E">
        <w:rPr>
          <w:rFonts w:cs="Tahoma"/>
          <w:noProof/>
        </w:rPr>
        <w:drawing>
          <wp:inline distT="0" distB="0" distL="0" distR="0">
            <wp:extent cx="5715000" cy="3390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131E" w:rsidRDefault="0055131E" w:rsidP="002E46C2">
      <w:pPr>
        <w:pStyle w:val="Paraststmeklis"/>
        <w:ind w:right="71"/>
        <w:jc w:val="both"/>
        <w:rPr>
          <w:rFonts w:cs="Tahoma"/>
        </w:rPr>
      </w:pPr>
    </w:p>
    <w:p w:rsidR="0055131E" w:rsidRDefault="0055131E" w:rsidP="002E46C2">
      <w:pPr>
        <w:pStyle w:val="Paraststmeklis"/>
        <w:ind w:right="71"/>
        <w:jc w:val="both"/>
        <w:rPr>
          <w:rFonts w:cs="Tahoma"/>
        </w:rPr>
      </w:pPr>
    </w:p>
    <w:p w:rsidR="008922BA" w:rsidRDefault="008922BA" w:rsidP="002E46C2">
      <w:pPr>
        <w:pStyle w:val="Paraststmeklis"/>
        <w:ind w:right="71"/>
        <w:jc w:val="both"/>
        <w:rPr>
          <w:rFonts w:cs="Tahoma"/>
        </w:rPr>
      </w:pPr>
    </w:p>
    <w:p w:rsidR="008922BA" w:rsidRDefault="008922BA" w:rsidP="002E46C2">
      <w:pPr>
        <w:pStyle w:val="Paraststmeklis"/>
        <w:ind w:right="71"/>
        <w:jc w:val="both"/>
        <w:rPr>
          <w:rFonts w:cs="Tahoma"/>
        </w:rPr>
      </w:pPr>
    </w:p>
    <w:p w:rsidR="008969BD" w:rsidRDefault="008969BD" w:rsidP="002E46C2">
      <w:pPr>
        <w:pStyle w:val="Paraststmeklis"/>
        <w:ind w:right="71"/>
        <w:jc w:val="both"/>
        <w:rPr>
          <w:rFonts w:cs="Tahoma"/>
        </w:rPr>
      </w:pPr>
    </w:p>
    <w:p w:rsidR="008969BD" w:rsidRDefault="008969BD" w:rsidP="002E46C2">
      <w:pPr>
        <w:pStyle w:val="Paraststmeklis"/>
        <w:ind w:right="71"/>
        <w:jc w:val="both"/>
        <w:rPr>
          <w:rFonts w:cs="Tahoma"/>
        </w:rPr>
      </w:pPr>
    </w:p>
    <w:p w:rsidR="008969BD" w:rsidRDefault="008969BD" w:rsidP="002E46C2">
      <w:pPr>
        <w:pStyle w:val="Paraststmeklis"/>
        <w:ind w:right="71"/>
        <w:jc w:val="both"/>
        <w:rPr>
          <w:rFonts w:cs="Tahoma"/>
        </w:rPr>
      </w:pPr>
    </w:p>
    <w:p w:rsidR="001D7706" w:rsidRDefault="001D7706" w:rsidP="002E46C2">
      <w:pPr>
        <w:pStyle w:val="Paraststmeklis"/>
        <w:ind w:right="71"/>
        <w:jc w:val="both"/>
        <w:rPr>
          <w:rFonts w:cs="Tahoma"/>
        </w:rPr>
      </w:pPr>
    </w:p>
    <w:p w:rsidR="00E57EDF" w:rsidRDefault="00E57EDF" w:rsidP="002E46C2">
      <w:pPr>
        <w:pStyle w:val="Paraststmeklis"/>
        <w:ind w:right="71"/>
        <w:jc w:val="both"/>
        <w:rPr>
          <w:rFonts w:cs="Tahoma"/>
        </w:rPr>
      </w:pPr>
    </w:p>
    <w:p w:rsidR="008922BA" w:rsidRDefault="008922BA" w:rsidP="002E46C2">
      <w:pPr>
        <w:pStyle w:val="Paraststmeklis"/>
        <w:ind w:right="71"/>
        <w:jc w:val="both"/>
        <w:rPr>
          <w:rFonts w:cs="Tahoma"/>
        </w:rPr>
      </w:pPr>
    </w:p>
    <w:p w:rsidR="008922BA" w:rsidRDefault="008922BA" w:rsidP="002E46C2">
      <w:pPr>
        <w:pStyle w:val="Paraststmeklis"/>
        <w:ind w:right="71"/>
        <w:jc w:val="both"/>
        <w:rPr>
          <w:rFonts w:cs="Tahoma"/>
        </w:rPr>
      </w:pPr>
    </w:p>
    <w:p w:rsidR="00907F73" w:rsidRDefault="00907F73" w:rsidP="002E46C2">
      <w:pPr>
        <w:pStyle w:val="Paraststmeklis"/>
        <w:ind w:right="71"/>
        <w:jc w:val="both"/>
        <w:rPr>
          <w:rFonts w:cs="Tahoma"/>
        </w:rPr>
      </w:pPr>
    </w:p>
    <w:p w:rsidR="00E57EDF" w:rsidRDefault="00E57EDF" w:rsidP="002E46C2">
      <w:pPr>
        <w:pStyle w:val="Paraststmeklis"/>
        <w:ind w:right="71"/>
        <w:jc w:val="both"/>
        <w:rPr>
          <w:rFonts w:cs="Tahoma"/>
        </w:rPr>
      </w:pPr>
    </w:p>
    <w:p w:rsidR="00E57EDF" w:rsidRDefault="00E57EDF" w:rsidP="002E46C2">
      <w:pPr>
        <w:pStyle w:val="Paraststmeklis"/>
        <w:ind w:right="71"/>
        <w:jc w:val="both"/>
        <w:rPr>
          <w:rFonts w:cs="Tahoma"/>
        </w:rPr>
      </w:pPr>
    </w:p>
    <w:p w:rsidR="002E46C2" w:rsidRDefault="002E46C2" w:rsidP="002E46C2">
      <w:pPr>
        <w:pStyle w:val="Paraststmeklis"/>
        <w:ind w:right="71"/>
        <w:jc w:val="right"/>
        <w:rPr>
          <w:rFonts w:cs="Tahoma"/>
        </w:rPr>
      </w:pPr>
      <w:r w:rsidRPr="00920C23">
        <w:rPr>
          <w:sz w:val="20"/>
          <w:szCs w:val="20"/>
        </w:rPr>
        <w:lastRenderedPageBreak/>
        <w:t>tabula Nr.4</w:t>
      </w:r>
    </w:p>
    <w:tbl>
      <w:tblPr>
        <w:tblW w:w="9926" w:type="dxa"/>
        <w:jc w:val="center"/>
        <w:tblLook w:val="0000" w:firstRow="0" w:lastRow="0" w:firstColumn="0" w:lastColumn="0" w:noHBand="0" w:noVBand="0"/>
      </w:tblPr>
      <w:tblGrid>
        <w:gridCol w:w="141"/>
        <w:gridCol w:w="4776"/>
        <w:gridCol w:w="1663"/>
        <w:gridCol w:w="1691"/>
        <w:gridCol w:w="999"/>
        <w:gridCol w:w="191"/>
        <w:gridCol w:w="90"/>
        <w:gridCol w:w="309"/>
        <w:gridCol w:w="66"/>
      </w:tblGrid>
      <w:tr w:rsidR="007B4D09" w:rsidRPr="00920C23" w:rsidTr="00162BDE">
        <w:trPr>
          <w:gridBefore w:val="1"/>
          <w:gridAfter w:val="1"/>
          <w:wBefore w:w="141" w:type="dxa"/>
          <w:wAfter w:w="66" w:type="dxa"/>
          <w:trHeight w:val="255"/>
          <w:jc w:val="center"/>
        </w:trPr>
        <w:tc>
          <w:tcPr>
            <w:tcW w:w="4776" w:type="dxa"/>
            <w:tcBorders>
              <w:top w:val="single" w:sz="4" w:space="0" w:color="auto"/>
              <w:left w:val="single" w:sz="4" w:space="0" w:color="auto"/>
              <w:bottom w:val="single" w:sz="4" w:space="0" w:color="auto"/>
              <w:right w:val="nil"/>
            </w:tcBorders>
            <w:shd w:val="clear" w:color="auto" w:fill="auto"/>
            <w:noWrap/>
            <w:vAlign w:val="bottom"/>
          </w:tcPr>
          <w:p w:rsidR="002E46C2" w:rsidRPr="00920C23" w:rsidRDefault="002E46C2" w:rsidP="00960F80">
            <w:pPr>
              <w:jc w:val="center"/>
              <w:rPr>
                <w:b/>
              </w:rPr>
            </w:pPr>
            <w:r>
              <w:rPr>
                <w:rFonts w:cs="Tahoma"/>
              </w:rPr>
              <w:br w:type="page"/>
            </w:r>
            <w:r w:rsidRPr="00920C23">
              <w:rPr>
                <w:b/>
              </w:rPr>
              <w:t>Izdevumi struktūrvienībā</w:t>
            </w:r>
          </w:p>
        </w:tc>
        <w:tc>
          <w:tcPr>
            <w:tcW w:w="1663" w:type="dxa"/>
            <w:tcBorders>
              <w:top w:val="single" w:sz="4" w:space="0" w:color="auto"/>
              <w:left w:val="single" w:sz="4" w:space="0" w:color="auto"/>
              <w:bottom w:val="single" w:sz="4" w:space="0" w:color="auto"/>
              <w:right w:val="single" w:sz="4" w:space="0" w:color="auto"/>
            </w:tcBorders>
          </w:tcPr>
          <w:p w:rsidR="002E46C2" w:rsidRPr="00920C23" w:rsidRDefault="00E57EDF" w:rsidP="00960F80">
            <w:pPr>
              <w:jc w:val="right"/>
              <w:rPr>
                <w:b/>
              </w:rPr>
            </w:pPr>
            <w:r>
              <w:rPr>
                <w:b/>
              </w:rPr>
              <w:t>2017</w:t>
            </w:r>
            <w:r w:rsidR="002E46C2" w:rsidRPr="00920C23">
              <w:rPr>
                <w:b/>
              </w:rPr>
              <w:t>.gads</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46C2" w:rsidRPr="00920C23" w:rsidRDefault="002E46C2" w:rsidP="00E57EDF">
            <w:pPr>
              <w:jc w:val="right"/>
              <w:rPr>
                <w:b/>
              </w:rPr>
            </w:pPr>
            <w:r w:rsidRPr="00920C23">
              <w:rPr>
                <w:b/>
              </w:rPr>
              <w:t>201</w:t>
            </w:r>
            <w:r w:rsidR="00E57EDF">
              <w:rPr>
                <w:b/>
              </w:rPr>
              <w:t>8</w:t>
            </w:r>
            <w:r w:rsidRPr="00920C23">
              <w:rPr>
                <w:b/>
              </w:rPr>
              <w:t>.gads</w:t>
            </w:r>
          </w:p>
        </w:tc>
        <w:tc>
          <w:tcPr>
            <w:tcW w:w="1589" w:type="dxa"/>
            <w:gridSpan w:val="4"/>
            <w:tcBorders>
              <w:top w:val="single" w:sz="4" w:space="0" w:color="auto"/>
              <w:left w:val="nil"/>
              <w:bottom w:val="single" w:sz="4" w:space="0" w:color="auto"/>
              <w:right w:val="single" w:sz="4" w:space="0" w:color="auto"/>
            </w:tcBorders>
            <w:shd w:val="clear" w:color="auto" w:fill="auto"/>
            <w:noWrap/>
            <w:vAlign w:val="bottom"/>
          </w:tcPr>
          <w:p w:rsidR="002E46C2" w:rsidRPr="00920C23" w:rsidRDefault="002E46C2" w:rsidP="00E57EDF">
            <w:pPr>
              <w:jc w:val="right"/>
              <w:rPr>
                <w:b/>
              </w:rPr>
            </w:pPr>
            <w:r w:rsidRPr="00920C23">
              <w:rPr>
                <w:b/>
              </w:rPr>
              <w:t>201</w:t>
            </w:r>
            <w:r w:rsidR="00E57EDF">
              <w:rPr>
                <w:b/>
              </w:rPr>
              <w:t>9</w:t>
            </w:r>
            <w:r w:rsidRPr="00920C23">
              <w:rPr>
                <w:b/>
              </w:rPr>
              <w:t>.gads</w:t>
            </w:r>
          </w:p>
        </w:tc>
      </w:tr>
      <w:tr w:rsidR="007B4D09" w:rsidRPr="00920C23" w:rsidTr="00162BDE">
        <w:trPr>
          <w:gridBefore w:val="1"/>
          <w:gridAfter w:val="1"/>
          <w:wBefore w:w="141" w:type="dxa"/>
          <w:wAfter w:w="66" w:type="dxa"/>
          <w:trHeight w:val="255"/>
          <w:jc w:val="center"/>
        </w:trPr>
        <w:tc>
          <w:tcPr>
            <w:tcW w:w="4776" w:type="dxa"/>
            <w:tcBorders>
              <w:top w:val="nil"/>
              <w:left w:val="single" w:sz="4" w:space="0" w:color="auto"/>
              <w:bottom w:val="single" w:sz="4" w:space="0" w:color="auto"/>
              <w:right w:val="nil"/>
            </w:tcBorders>
            <w:shd w:val="clear" w:color="auto" w:fill="auto"/>
            <w:noWrap/>
            <w:vAlign w:val="bottom"/>
          </w:tcPr>
          <w:p w:rsidR="002E46C2" w:rsidRPr="00920C23" w:rsidRDefault="002E46C2" w:rsidP="00960F80">
            <w:r w:rsidRPr="00920C23">
              <w:t>Siltums</w:t>
            </w:r>
          </w:p>
        </w:tc>
        <w:tc>
          <w:tcPr>
            <w:tcW w:w="1663" w:type="dxa"/>
            <w:tcBorders>
              <w:top w:val="nil"/>
              <w:left w:val="single" w:sz="4" w:space="0" w:color="auto"/>
              <w:bottom w:val="single" w:sz="4" w:space="0" w:color="auto"/>
              <w:right w:val="single" w:sz="4" w:space="0" w:color="auto"/>
            </w:tcBorders>
          </w:tcPr>
          <w:p w:rsidR="002E46C2" w:rsidRPr="00920C23" w:rsidRDefault="002E46C2" w:rsidP="00E57EDF">
            <w:pPr>
              <w:jc w:val="right"/>
            </w:pPr>
            <w:r w:rsidRPr="00920C23">
              <w:t>3</w:t>
            </w:r>
            <w:r w:rsidR="00E57EDF">
              <w:t>60.3</w:t>
            </w:r>
          </w:p>
        </w:tc>
        <w:tc>
          <w:tcPr>
            <w:tcW w:w="1691" w:type="dxa"/>
            <w:tcBorders>
              <w:top w:val="nil"/>
              <w:left w:val="single" w:sz="4" w:space="0" w:color="auto"/>
              <w:bottom w:val="single" w:sz="4" w:space="0" w:color="auto"/>
              <w:right w:val="single" w:sz="4" w:space="0" w:color="auto"/>
            </w:tcBorders>
            <w:shd w:val="clear" w:color="auto" w:fill="auto"/>
            <w:noWrap/>
            <w:vAlign w:val="bottom"/>
          </w:tcPr>
          <w:p w:rsidR="002E46C2" w:rsidRPr="00920C23" w:rsidRDefault="00107956" w:rsidP="00107956">
            <w:pPr>
              <w:jc w:val="right"/>
            </w:pPr>
            <w:r>
              <w:t>358.1</w:t>
            </w:r>
          </w:p>
        </w:tc>
        <w:tc>
          <w:tcPr>
            <w:tcW w:w="1589" w:type="dxa"/>
            <w:gridSpan w:val="4"/>
            <w:tcBorders>
              <w:top w:val="nil"/>
              <w:left w:val="nil"/>
              <w:bottom w:val="single" w:sz="4" w:space="0" w:color="auto"/>
              <w:right w:val="single" w:sz="4" w:space="0" w:color="auto"/>
            </w:tcBorders>
            <w:shd w:val="clear" w:color="auto" w:fill="auto"/>
            <w:noWrap/>
            <w:vAlign w:val="bottom"/>
          </w:tcPr>
          <w:p w:rsidR="002E46C2" w:rsidRPr="00920C23" w:rsidRDefault="001C4823" w:rsidP="00107956">
            <w:pPr>
              <w:jc w:val="right"/>
            </w:pPr>
            <w:r>
              <w:t>3</w:t>
            </w:r>
            <w:r w:rsidR="00107956">
              <w:t>57.2</w:t>
            </w:r>
          </w:p>
        </w:tc>
      </w:tr>
      <w:tr w:rsidR="007B4D09" w:rsidRPr="00920C23" w:rsidTr="00162BDE">
        <w:trPr>
          <w:gridBefore w:val="1"/>
          <w:gridAfter w:val="1"/>
          <w:wBefore w:w="141" w:type="dxa"/>
          <w:wAfter w:w="66" w:type="dxa"/>
          <w:trHeight w:val="255"/>
          <w:jc w:val="center"/>
        </w:trPr>
        <w:tc>
          <w:tcPr>
            <w:tcW w:w="4776" w:type="dxa"/>
            <w:tcBorders>
              <w:top w:val="nil"/>
              <w:left w:val="single" w:sz="4" w:space="0" w:color="auto"/>
              <w:bottom w:val="single" w:sz="4" w:space="0" w:color="auto"/>
              <w:right w:val="nil"/>
            </w:tcBorders>
            <w:shd w:val="clear" w:color="auto" w:fill="auto"/>
            <w:noWrap/>
            <w:vAlign w:val="bottom"/>
          </w:tcPr>
          <w:p w:rsidR="002E46C2" w:rsidRPr="00920C23" w:rsidRDefault="002E46C2" w:rsidP="00960F80">
            <w:r w:rsidRPr="00920C23">
              <w:t>Ūdens</w:t>
            </w:r>
          </w:p>
        </w:tc>
        <w:tc>
          <w:tcPr>
            <w:tcW w:w="1663" w:type="dxa"/>
            <w:tcBorders>
              <w:top w:val="nil"/>
              <w:left w:val="single" w:sz="4" w:space="0" w:color="auto"/>
              <w:bottom w:val="single" w:sz="4" w:space="0" w:color="auto"/>
              <w:right w:val="single" w:sz="4" w:space="0" w:color="auto"/>
            </w:tcBorders>
          </w:tcPr>
          <w:p w:rsidR="002E46C2" w:rsidRPr="00920C23" w:rsidRDefault="00E30DE9" w:rsidP="00960F80">
            <w:pPr>
              <w:jc w:val="right"/>
            </w:pPr>
            <w:r>
              <w:t>46.7</w:t>
            </w:r>
          </w:p>
        </w:tc>
        <w:tc>
          <w:tcPr>
            <w:tcW w:w="1691" w:type="dxa"/>
            <w:tcBorders>
              <w:top w:val="nil"/>
              <w:left w:val="single" w:sz="4" w:space="0" w:color="auto"/>
              <w:bottom w:val="single" w:sz="4" w:space="0" w:color="auto"/>
              <w:right w:val="single" w:sz="4" w:space="0" w:color="auto"/>
            </w:tcBorders>
            <w:shd w:val="clear" w:color="auto" w:fill="auto"/>
            <w:noWrap/>
            <w:vAlign w:val="bottom"/>
          </w:tcPr>
          <w:p w:rsidR="002E46C2" w:rsidRPr="00920C23" w:rsidRDefault="002E46C2" w:rsidP="001C4823">
            <w:pPr>
              <w:jc w:val="right"/>
            </w:pPr>
            <w:r w:rsidRPr="00920C23">
              <w:t>4</w:t>
            </w:r>
            <w:r w:rsidR="001C4823">
              <w:t>7</w:t>
            </w:r>
            <w:r w:rsidRPr="00920C23">
              <w:t>.6</w:t>
            </w:r>
          </w:p>
        </w:tc>
        <w:tc>
          <w:tcPr>
            <w:tcW w:w="1589" w:type="dxa"/>
            <w:gridSpan w:val="4"/>
            <w:tcBorders>
              <w:top w:val="nil"/>
              <w:left w:val="nil"/>
              <w:bottom w:val="single" w:sz="4" w:space="0" w:color="auto"/>
              <w:right w:val="single" w:sz="4" w:space="0" w:color="auto"/>
            </w:tcBorders>
            <w:shd w:val="clear" w:color="auto" w:fill="auto"/>
            <w:noWrap/>
            <w:vAlign w:val="bottom"/>
          </w:tcPr>
          <w:p w:rsidR="002E46C2" w:rsidRPr="00920C23" w:rsidRDefault="001C4823" w:rsidP="001C4823">
            <w:pPr>
              <w:jc w:val="right"/>
            </w:pPr>
            <w:r>
              <w:t>48.6</w:t>
            </w:r>
          </w:p>
        </w:tc>
      </w:tr>
      <w:tr w:rsidR="007B4D09" w:rsidRPr="00920C23" w:rsidTr="00162BDE">
        <w:trPr>
          <w:gridBefore w:val="1"/>
          <w:gridAfter w:val="1"/>
          <w:wBefore w:w="141" w:type="dxa"/>
          <w:wAfter w:w="66" w:type="dxa"/>
          <w:trHeight w:val="255"/>
          <w:jc w:val="center"/>
        </w:trPr>
        <w:tc>
          <w:tcPr>
            <w:tcW w:w="4776" w:type="dxa"/>
            <w:tcBorders>
              <w:top w:val="nil"/>
              <w:left w:val="single" w:sz="4" w:space="0" w:color="auto"/>
              <w:bottom w:val="single" w:sz="4" w:space="0" w:color="auto"/>
              <w:right w:val="nil"/>
            </w:tcBorders>
            <w:shd w:val="clear" w:color="auto" w:fill="auto"/>
            <w:noWrap/>
            <w:vAlign w:val="bottom"/>
          </w:tcPr>
          <w:p w:rsidR="002E46C2" w:rsidRPr="00920C23" w:rsidRDefault="002E46C2" w:rsidP="00960F80">
            <w:r w:rsidRPr="00920C23">
              <w:t>Kanalizācija</w:t>
            </w:r>
          </w:p>
        </w:tc>
        <w:tc>
          <w:tcPr>
            <w:tcW w:w="1663" w:type="dxa"/>
            <w:tcBorders>
              <w:top w:val="nil"/>
              <w:left w:val="single" w:sz="4" w:space="0" w:color="auto"/>
              <w:bottom w:val="single" w:sz="4" w:space="0" w:color="auto"/>
              <w:right w:val="single" w:sz="4" w:space="0" w:color="auto"/>
            </w:tcBorders>
          </w:tcPr>
          <w:p w:rsidR="002E46C2" w:rsidRPr="00920C23" w:rsidRDefault="00107956" w:rsidP="00107956">
            <w:pPr>
              <w:jc w:val="right"/>
            </w:pPr>
            <w:r>
              <w:t>77.2</w:t>
            </w:r>
          </w:p>
        </w:tc>
        <w:tc>
          <w:tcPr>
            <w:tcW w:w="1691" w:type="dxa"/>
            <w:tcBorders>
              <w:top w:val="nil"/>
              <w:left w:val="single" w:sz="4" w:space="0" w:color="auto"/>
              <w:bottom w:val="single" w:sz="4" w:space="0" w:color="auto"/>
              <w:right w:val="single" w:sz="4" w:space="0" w:color="auto"/>
            </w:tcBorders>
            <w:shd w:val="clear" w:color="auto" w:fill="auto"/>
            <w:noWrap/>
            <w:vAlign w:val="bottom"/>
          </w:tcPr>
          <w:p w:rsidR="002E46C2" w:rsidRPr="00920C23" w:rsidRDefault="00107956" w:rsidP="001C4823">
            <w:pPr>
              <w:jc w:val="right"/>
            </w:pPr>
            <w:r>
              <w:t>77.4</w:t>
            </w:r>
          </w:p>
        </w:tc>
        <w:tc>
          <w:tcPr>
            <w:tcW w:w="1589" w:type="dxa"/>
            <w:gridSpan w:val="4"/>
            <w:tcBorders>
              <w:top w:val="nil"/>
              <w:left w:val="nil"/>
              <w:bottom w:val="single" w:sz="4" w:space="0" w:color="auto"/>
              <w:right w:val="single" w:sz="4" w:space="0" w:color="auto"/>
            </w:tcBorders>
            <w:shd w:val="clear" w:color="auto" w:fill="auto"/>
            <w:noWrap/>
            <w:vAlign w:val="bottom"/>
          </w:tcPr>
          <w:p w:rsidR="002E46C2" w:rsidRPr="00920C23" w:rsidRDefault="00107956" w:rsidP="00960F80">
            <w:pPr>
              <w:jc w:val="right"/>
            </w:pPr>
            <w:r>
              <w:t>77.9</w:t>
            </w:r>
          </w:p>
        </w:tc>
      </w:tr>
      <w:tr w:rsidR="007B4D09" w:rsidRPr="00920C23" w:rsidTr="00162BDE">
        <w:trPr>
          <w:gridBefore w:val="1"/>
          <w:gridAfter w:val="1"/>
          <w:wBefore w:w="141" w:type="dxa"/>
          <w:wAfter w:w="66" w:type="dxa"/>
          <w:trHeight w:val="255"/>
          <w:jc w:val="center"/>
        </w:trPr>
        <w:tc>
          <w:tcPr>
            <w:tcW w:w="4776" w:type="dxa"/>
            <w:tcBorders>
              <w:top w:val="nil"/>
              <w:left w:val="single" w:sz="4" w:space="0" w:color="auto"/>
              <w:bottom w:val="single" w:sz="4" w:space="0" w:color="auto"/>
              <w:right w:val="nil"/>
            </w:tcBorders>
            <w:shd w:val="clear" w:color="auto" w:fill="auto"/>
            <w:noWrap/>
            <w:vAlign w:val="bottom"/>
          </w:tcPr>
          <w:p w:rsidR="002E46C2" w:rsidRPr="00920C23" w:rsidRDefault="002E46C2" w:rsidP="00960F80">
            <w:r w:rsidRPr="00920C23">
              <w:t>Apsaimniekošana</w:t>
            </w:r>
          </w:p>
        </w:tc>
        <w:tc>
          <w:tcPr>
            <w:tcW w:w="1663" w:type="dxa"/>
            <w:tcBorders>
              <w:top w:val="nil"/>
              <w:left w:val="single" w:sz="4" w:space="0" w:color="auto"/>
              <w:bottom w:val="single" w:sz="4" w:space="0" w:color="auto"/>
              <w:right w:val="single" w:sz="4" w:space="0" w:color="auto"/>
            </w:tcBorders>
          </w:tcPr>
          <w:p w:rsidR="002E46C2" w:rsidRPr="00920C23" w:rsidRDefault="00107956" w:rsidP="00107956">
            <w:pPr>
              <w:jc w:val="right"/>
            </w:pPr>
            <w:r>
              <w:t>212.1</w:t>
            </w:r>
          </w:p>
        </w:tc>
        <w:tc>
          <w:tcPr>
            <w:tcW w:w="1691" w:type="dxa"/>
            <w:tcBorders>
              <w:top w:val="nil"/>
              <w:left w:val="single" w:sz="4" w:space="0" w:color="auto"/>
              <w:bottom w:val="single" w:sz="4" w:space="0" w:color="auto"/>
              <w:right w:val="single" w:sz="4" w:space="0" w:color="auto"/>
            </w:tcBorders>
            <w:shd w:val="clear" w:color="auto" w:fill="auto"/>
            <w:noWrap/>
            <w:vAlign w:val="bottom"/>
          </w:tcPr>
          <w:p w:rsidR="002E46C2" w:rsidRPr="00920C23" w:rsidRDefault="00107956" w:rsidP="00960F80">
            <w:pPr>
              <w:jc w:val="right"/>
            </w:pPr>
            <w:r>
              <w:t>218.9</w:t>
            </w:r>
          </w:p>
        </w:tc>
        <w:tc>
          <w:tcPr>
            <w:tcW w:w="1589" w:type="dxa"/>
            <w:gridSpan w:val="4"/>
            <w:tcBorders>
              <w:top w:val="nil"/>
              <w:left w:val="nil"/>
              <w:bottom w:val="single" w:sz="4" w:space="0" w:color="auto"/>
              <w:right w:val="single" w:sz="4" w:space="0" w:color="auto"/>
            </w:tcBorders>
            <w:shd w:val="clear" w:color="auto" w:fill="auto"/>
            <w:noWrap/>
            <w:vAlign w:val="bottom"/>
          </w:tcPr>
          <w:p w:rsidR="002E46C2" w:rsidRPr="00920C23" w:rsidRDefault="00107956" w:rsidP="001C4823">
            <w:pPr>
              <w:jc w:val="right"/>
            </w:pPr>
            <w:r>
              <w:t>202</w:t>
            </w:r>
            <w:r w:rsidR="001C4823">
              <w:t>.0</w:t>
            </w:r>
          </w:p>
        </w:tc>
      </w:tr>
      <w:tr w:rsidR="007B4D09" w:rsidRPr="00920C23" w:rsidTr="00162BDE">
        <w:trPr>
          <w:gridBefore w:val="1"/>
          <w:gridAfter w:val="1"/>
          <w:wBefore w:w="141" w:type="dxa"/>
          <w:wAfter w:w="66" w:type="dxa"/>
          <w:trHeight w:val="255"/>
          <w:jc w:val="center"/>
        </w:trPr>
        <w:tc>
          <w:tcPr>
            <w:tcW w:w="4776" w:type="dxa"/>
            <w:tcBorders>
              <w:top w:val="nil"/>
              <w:left w:val="single" w:sz="4" w:space="0" w:color="auto"/>
              <w:bottom w:val="single" w:sz="4" w:space="0" w:color="auto"/>
              <w:right w:val="nil"/>
            </w:tcBorders>
            <w:shd w:val="clear" w:color="auto" w:fill="auto"/>
            <w:noWrap/>
            <w:vAlign w:val="bottom"/>
          </w:tcPr>
          <w:p w:rsidR="002E46C2" w:rsidRPr="00920C23" w:rsidRDefault="002E46C2" w:rsidP="00960F80">
            <w:pPr>
              <w:rPr>
                <w:bCs/>
              </w:rPr>
            </w:pPr>
            <w:r w:rsidRPr="00920C23">
              <w:rPr>
                <w:bCs/>
              </w:rPr>
              <w:t>Koģenerācija</w:t>
            </w:r>
          </w:p>
        </w:tc>
        <w:tc>
          <w:tcPr>
            <w:tcW w:w="1663" w:type="dxa"/>
            <w:tcBorders>
              <w:top w:val="nil"/>
              <w:left w:val="single" w:sz="4" w:space="0" w:color="auto"/>
              <w:bottom w:val="single" w:sz="4" w:space="0" w:color="auto"/>
              <w:right w:val="single" w:sz="4" w:space="0" w:color="auto"/>
            </w:tcBorders>
          </w:tcPr>
          <w:p w:rsidR="002E46C2" w:rsidRPr="00613944" w:rsidRDefault="00A25750" w:rsidP="00107956">
            <w:pPr>
              <w:jc w:val="right"/>
            </w:pPr>
            <w:r w:rsidRPr="00613944">
              <w:t>187.0</w:t>
            </w:r>
          </w:p>
        </w:tc>
        <w:tc>
          <w:tcPr>
            <w:tcW w:w="1691" w:type="dxa"/>
            <w:tcBorders>
              <w:top w:val="nil"/>
              <w:left w:val="single" w:sz="4" w:space="0" w:color="auto"/>
              <w:bottom w:val="single" w:sz="4" w:space="0" w:color="auto"/>
              <w:right w:val="single" w:sz="4" w:space="0" w:color="auto"/>
            </w:tcBorders>
            <w:shd w:val="clear" w:color="auto" w:fill="auto"/>
            <w:noWrap/>
            <w:vAlign w:val="bottom"/>
          </w:tcPr>
          <w:p w:rsidR="002E46C2" w:rsidRPr="00613944" w:rsidRDefault="00A25750" w:rsidP="001C4823">
            <w:pPr>
              <w:jc w:val="right"/>
            </w:pPr>
            <w:r w:rsidRPr="00613944">
              <w:t>77.9</w:t>
            </w:r>
          </w:p>
        </w:tc>
        <w:tc>
          <w:tcPr>
            <w:tcW w:w="1589" w:type="dxa"/>
            <w:gridSpan w:val="4"/>
            <w:tcBorders>
              <w:top w:val="nil"/>
              <w:left w:val="nil"/>
              <w:bottom w:val="single" w:sz="4" w:space="0" w:color="auto"/>
              <w:right w:val="single" w:sz="4" w:space="0" w:color="auto"/>
            </w:tcBorders>
            <w:shd w:val="clear" w:color="auto" w:fill="auto"/>
            <w:noWrap/>
            <w:vAlign w:val="bottom"/>
          </w:tcPr>
          <w:p w:rsidR="002E46C2" w:rsidRPr="00613944" w:rsidRDefault="00A25750" w:rsidP="00960F80">
            <w:pPr>
              <w:jc w:val="right"/>
            </w:pPr>
            <w:r w:rsidRPr="00613944">
              <w:t>14.4</w:t>
            </w:r>
          </w:p>
        </w:tc>
      </w:tr>
      <w:tr w:rsidR="007B4D09" w:rsidRPr="00920C23" w:rsidTr="00162BDE">
        <w:trPr>
          <w:gridBefore w:val="1"/>
          <w:gridAfter w:val="1"/>
          <w:wBefore w:w="141" w:type="dxa"/>
          <w:wAfter w:w="66" w:type="dxa"/>
          <w:trHeight w:val="255"/>
          <w:jc w:val="center"/>
        </w:trPr>
        <w:tc>
          <w:tcPr>
            <w:tcW w:w="4776" w:type="dxa"/>
            <w:tcBorders>
              <w:top w:val="nil"/>
              <w:left w:val="single" w:sz="4" w:space="0" w:color="auto"/>
              <w:bottom w:val="single" w:sz="4" w:space="0" w:color="auto"/>
              <w:right w:val="nil"/>
            </w:tcBorders>
            <w:shd w:val="clear" w:color="auto" w:fill="auto"/>
            <w:noWrap/>
            <w:vAlign w:val="bottom"/>
          </w:tcPr>
          <w:p w:rsidR="002E46C2" w:rsidRPr="00920C23" w:rsidRDefault="002E46C2" w:rsidP="00960F80">
            <w:r w:rsidRPr="00920C23">
              <w:t>Atkritumi</w:t>
            </w:r>
          </w:p>
        </w:tc>
        <w:tc>
          <w:tcPr>
            <w:tcW w:w="1663" w:type="dxa"/>
            <w:tcBorders>
              <w:top w:val="nil"/>
              <w:left w:val="single" w:sz="4" w:space="0" w:color="auto"/>
              <w:bottom w:val="single" w:sz="4" w:space="0" w:color="auto"/>
              <w:right w:val="single" w:sz="4" w:space="0" w:color="auto"/>
            </w:tcBorders>
          </w:tcPr>
          <w:p w:rsidR="002E46C2" w:rsidRPr="00920C23" w:rsidRDefault="002E46C2" w:rsidP="00107956">
            <w:pPr>
              <w:jc w:val="right"/>
            </w:pPr>
            <w:r w:rsidRPr="00920C23">
              <w:t>29.</w:t>
            </w:r>
            <w:r w:rsidR="00107956">
              <w:t>2</w:t>
            </w:r>
          </w:p>
        </w:tc>
        <w:tc>
          <w:tcPr>
            <w:tcW w:w="1691" w:type="dxa"/>
            <w:tcBorders>
              <w:top w:val="nil"/>
              <w:left w:val="single" w:sz="4" w:space="0" w:color="auto"/>
              <w:bottom w:val="single" w:sz="4" w:space="0" w:color="auto"/>
              <w:right w:val="single" w:sz="4" w:space="0" w:color="auto"/>
            </w:tcBorders>
            <w:shd w:val="clear" w:color="auto" w:fill="auto"/>
            <w:noWrap/>
            <w:vAlign w:val="bottom"/>
          </w:tcPr>
          <w:p w:rsidR="002E46C2" w:rsidRPr="00920C23" w:rsidRDefault="002E46C2" w:rsidP="00107956">
            <w:pPr>
              <w:jc w:val="right"/>
            </w:pPr>
            <w:r w:rsidRPr="00920C23">
              <w:t>29.</w:t>
            </w:r>
            <w:r w:rsidR="00107956">
              <w:t>3</w:t>
            </w:r>
          </w:p>
        </w:tc>
        <w:tc>
          <w:tcPr>
            <w:tcW w:w="1589" w:type="dxa"/>
            <w:gridSpan w:val="4"/>
            <w:tcBorders>
              <w:top w:val="nil"/>
              <w:left w:val="nil"/>
              <w:bottom w:val="single" w:sz="4" w:space="0" w:color="auto"/>
              <w:right w:val="single" w:sz="4" w:space="0" w:color="auto"/>
            </w:tcBorders>
            <w:shd w:val="clear" w:color="auto" w:fill="auto"/>
            <w:noWrap/>
            <w:vAlign w:val="bottom"/>
          </w:tcPr>
          <w:p w:rsidR="002E46C2" w:rsidRPr="00920C23" w:rsidRDefault="00107956" w:rsidP="00960F80">
            <w:pPr>
              <w:jc w:val="right"/>
            </w:pPr>
            <w:r>
              <w:t>29.5</w:t>
            </w:r>
          </w:p>
        </w:tc>
      </w:tr>
      <w:tr w:rsidR="007B4D09" w:rsidRPr="00920C23" w:rsidTr="00162BDE">
        <w:trPr>
          <w:gridBefore w:val="1"/>
          <w:gridAfter w:val="1"/>
          <w:wBefore w:w="141" w:type="dxa"/>
          <w:wAfter w:w="66" w:type="dxa"/>
          <w:trHeight w:val="255"/>
          <w:jc w:val="center"/>
        </w:trPr>
        <w:tc>
          <w:tcPr>
            <w:tcW w:w="4776" w:type="dxa"/>
            <w:tcBorders>
              <w:top w:val="nil"/>
              <w:left w:val="single" w:sz="4" w:space="0" w:color="auto"/>
              <w:bottom w:val="single" w:sz="4" w:space="0" w:color="auto"/>
              <w:right w:val="nil"/>
            </w:tcBorders>
            <w:shd w:val="clear" w:color="auto" w:fill="auto"/>
            <w:noWrap/>
            <w:vAlign w:val="bottom"/>
          </w:tcPr>
          <w:p w:rsidR="002E46C2" w:rsidRPr="00920C23" w:rsidRDefault="002E46C2" w:rsidP="00960F80">
            <w:r w:rsidRPr="00920C23">
              <w:t>Pārējie</w:t>
            </w:r>
          </w:p>
        </w:tc>
        <w:tc>
          <w:tcPr>
            <w:tcW w:w="1663" w:type="dxa"/>
            <w:tcBorders>
              <w:top w:val="nil"/>
              <w:left w:val="single" w:sz="4" w:space="0" w:color="auto"/>
              <w:bottom w:val="single" w:sz="4" w:space="0" w:color="auto"/>
              <w:right w:val="single" w:sz="4" w:space="0" w:color="auto"/>
            </w:tcBorders>
          </w:tcPr>
          <w:p w:rsidR="002E46C2" w:rsidRPr="00920C23" w:rsidRDefault="00107956" w:rsidP="00960F80">
            <w:pPr>
              <w:jc w:val="right"/>
            </w:pPr>
            <w:r>
              <w:t>53.1</w:t>
            </w:r>
          </w:p>
        </w:tc>
        <w:tc>
          <w:tcPr>
            <w:tcW w:w="1691" w:type="dxa"/>
            <w:tcBorders>
              <w:top w:val="nil"/>
              <w:left w:val="single" w:sz="4" w:space="0" w:color="auto"/>
              <w:bottom w:val="single" w:sz="4" w:space="0" w:color="auto"/>
              <w:right w:val="single" w:sz="4" w:space="0" w:color="auto"/>
            </w:tcBorders>
            <w:shd w:val="clear" w:color="auto" w:fill="auto"/>
            <w:noWrap/>
            <w:vAlign w:val="bottom"/>
          </w:tcPr>
          <w:p w:rsidR="002E46C2" w:rsidRPr="00920C23" w:rsidRDefault="00107956" w:rsidP="00960F80">
            <w:pPr>
              <w:jc w:val="right"/>
            </w:pPr>
            <w:r>
              <w:t>70.2</w:t>
            </w:r>
          </w:p>
        </w:tc>
        <w:tc>
          <w:tcPr>
            <w:tcW w:w="1589" w:type="dxa"/>
            <w:gridSpan w:val="4"/>
            <w:tcBorders>
              <w:top w:val="nil"/>
              <w:left w:val="nil"/>
              <w:bottom w:val="single" w:sz="4" w:space="0" w:color="auto"/>
              <w:right w:val="single" w:sz="4" w:space="0" w:color="auto"/>
            </w:tcBorders>
            <w:shd w:val="clear" w:color="auto" w:fill="auto"/>
            <w:noWrap/>
            <w:vAlign w:val="bottom"/>
          </w:tcPr>
          <w:p w:rsidR="002E46C2" w:rsidRPr="00920C23" w:rsidRDefault="00107956" w:rsidP="00107956">
            <w:pPr>
              <w:jc w:val="right"/>
            </w:pPr>
            <w:r>
              <w:t>70.3</w:t>
            </w:r>
          </w:p>
        </w:tc>
      </w:tr>
      <w:tr w:rsidR="0055131E" w:rsidRPr="00920C23" w:rsidTr="00162BDE">
        <w:trPr>
          <w:gridBefore w:val="1"/>
          <w:gridAfter w:val="1"/>
          <w:wBefore w:w="141" w:type="dxa"/>
          <w:wAfter w:w="66" w:type="dxa"/>
          <w:trHeight w:val="255"/>
          <w:jc w:val="center"/>
        </w:trPr>
        <w:tc>
          <w:tcPr>
            <w:tcW w:w="4776" w:type="dxa"/>
            <w:tcBorders>
              <w:top w:val="nil"/>
              <w:left w:val="single" w:sz="4" w:space="0" w:color="auto"/>
              <w:bottom w:val="single" w:sz="4" w:space="0" w:color="auto"/>
              <w:right w:val="nil"/>
            </w:tcBorders>
            <w:shd w:val="clear" w:color="auto" w:fill="auto"/>
            <w:noWrap/>
            <w:vAlign w:val="bottom"/>
          </w:tcPr>
          <w:p w:rsidR="0055131E" w:rsidRPr="005636D3" w:rsidRDefault="0055131E" w:rsidP="005636D3">
            <w:pPr>
              <w:jc w:val="center"/>
            </w:pPr>
            <w:r w:rsidRPr="00920C23">
              <w:rPr>
                <w:b/>
              </w:rPr>
              <w:t>KOPĀ</w:t>
            </w:r>
            <w:r>
              <w:rPr>
                <w:b/>
              </w:rPr>
              <w:t xml:space="preserve"> </w:t>
            </w:r>
            <w:r w:rsidRPr="00920C23">
              <w:t xml:space="preserve">(tūkst. </w:t>
            </w:r>
            <w:r>
              <w:t>EUR</w:t>
            </w:r>
            <w:r w:rsidRPr="00920C23">
              <w:t>)</w:t>
            </w:r>
          </w:p>
        </w:tc>
        <w:tc>
          <w:tcPr>
            <w:tcW w:w="1663" w:type="dxa"/>
            <w:tcBorders>
              <w:top w:val="nil"/>
              <w:left w:val="single" w:sz="4" w:space="0" w:color="auto"/>
              <w:bottom w:val="single" w:sz="4" w:space="0" w:color="auto"/>
              <w:right w:val="single" w:sz="4" w:space="0" w:color="auto"/>
            </w:tcBorders>
          </w:tcPr>
          <w:p w:rsidR="0055131E" w:rsidRPr="0055131E" w:rsidRDefault="0055131E">
            <w:pPr>
              <w:jc w:val="right"/>
              <w:rPr>
                <w:b/>
                <w:color w:val="000000"/>
              </w:rPr>
            </w:pPr>
            <w:r w:rsidRPr="0055131E">
              <w:rPr>
                <w:b/>
                <w:color w:val="000000"/>
              </w:rPr>
              <w:t>965.6</w:t>
            </w:r>
          </w:p>
        </w:tc>
        <w:tc>
          <w:tcPr>
            <w:tcW w:w="1691" w:type="dxa"/>
            <w:tcBorders>
              <w:top w:val="nil"/>
              <w:left w:val="single" w:sz="4" w:space="0" w:color="auto"/>
              <w:bottom w:val="single" w:sz="4" w:space="0" w:color="auto"/>
              <w:right w:val="single" w:sz="4" w:space="0" w:color="auto"/>
            </w:tcBorders>
            <w:shd w:val="clear" w:color="auto" w:fill="auto"/>
            <w:noWrap/>
          </w:tcPr>
          <w:p w:rsidR="0055131E" w:rsidRPr="0055131E" w:rsidRDefault="0055131E">
            <w:pPr>
              <w:jc w:val="right"/>
              <w:rPr>
                <w:b/>
                <w:color w:val="000000"/>
              </w:rPr>
            </w:pPr>
            <w:r w:rsidRPr="0055131E">
              <w:rPr>
                <w:b/>
                <w:color w:val="000000"/>
              </w:rPr>
              <w:t>879.4</w:t>
            </w:r>
          </w:p>
        </w:tc>
        <w:tc>
          <w:tcPr>
            <w:tcW w:w="1589" w:type="dxa"/>
            <w:gridSpan w:val="4"/>
            <w:tcBorders>
              <w:top w:val="nil"/>
              <w:left w:val="nil"/>
              <w:bottom w:val="single" w:sz="4" w:space="0" w:color="auto"/>
              <w:right w:val="single" w:sz="4" w:space="0" w:color="auto"/>
            </w:tcBorders>
            <w:shd w:val="clear" w:color="auto" w:fill="auto"/>
            <w:noWrap/>
          </w:tcPr>
          <w:p w:rsidR="0055131E" w:rsidRPr="0055131E" w:rsidRDefault="0055131E">
            <w:pPr>
              <w:jc w:val="right"/>
              <w:rPr>
                <w:b/>
                <w:color w:val="000000"/>
              </w:rPr>
            </w:pPr>
            <w:r w:rsidRPr="0055131E">
              <w:rPr>
                <w:b/>
                <w:color w:val="000000"/>
              </w:rPr>
              <w:t>799.9</w:t>
            </w:r>
          </w:p>
        </w:tc>
      </w:tr>
      <w:tr w:rsidR="007B4D09" w:rsidRPr="00920C23" w:rsidTr="00162BDE">
        <w:tblPrEx>
          <w:jc w:val="left"/>
          <w:tblCellMar>
            <w:left w:w="30" w:type="dxa"/>
            <w:right w:w="30" w:type="dxa"/>
          </w:tblCellMar>
        </w:tblPrEx>
        <w:trPr>
          <w:trHeight w:val="370"/>
        </w:trPr>
        <w:tc>
          <w:tcPr>
            <w:tcW w:w="9270" w:type="dxa"/>
            <w:gridSpan w:val="5"/>
            <w:tcBorders>
              <w:top w:val="nil"/>
              <w:left w:val="nil"/>
              <w:bottom w:val="nil"/>
              <w:right w:val="nil"/>
            </w:tcBorders>
          </w:tcPr>
          <w:p w:rsidR="002752D4" w:rsidRDefault="002752D4">
            <w:pPr>
              <w:autoSpaceDE w:val="0"/>
              <w:autoSpaceDN w:val="0"/>
              <w:adjustRightInd w:val="0"/>
              <w:rPr>
                <w:rFonts w:ascii="Calibri" w:hAnsi="Calibri" w:cs="Calibri"/>
                <w:color w:val="000000"/>
                <w:sz w:val="22"/>
                <w:szCs w:val="22"/>
                <w:lang w:eastAsia="lv-LV"/>
              </w:rPr>
            </w:pPr>
          </w:p>
          <w:p w:rsidR="00DF3B31" w:rsidRDefault="00DF3B31">
            <w:pPr>
              <w:autoSpaceDE w:val="0"/>
              <w:autoSpaceDN w:val="0"/>
              <w:adjustRightInd w:val="0"/>
              <w:rPr>
                <w:rFonts w:ascii="Calibri" w:hAnsi="Calibri" w:cs="Calibri"/>
                <w:color w:val="000000"/>
                <w:sz w:val="22"/>
                <w:szCs w:val="22"/>
                <w:lang w:eastAsia="lv-LV"/>
              </w:rPr>
            </w:pPr>
          </w:p>
          <w:p w:rsidR="00613944" w:rsidRDefault="00613944">
            <w:pPr>
              <w:autoSpaceDE w:val="0"/>
              <w:autoSpaceDN w:val="0"/>
              <w:adjustRightInd w:val="0"/>
              <w:rPr>
                <w:rFonts w:ascii="Calibri" w:hAnsi="Calibri" w:cs="Calibri"/>
                <w:color w:val="000000"/>
                <w:sz w:val="22"/>
                <w:szCs w:val="22"/>
                <w:lang w:eastAsia="lv-LV"/>
              </w:rPr>
            </w:pPr>
          </w:p>
          <w:p w:rsidR="00613944" w:rsidRDefault="00613944">
            <w:pPr>
              <w:autoSpaceDE w:val="0"/>
              <w:autoSpaceDN w:val="0"/>
              <w:adjustRightInd w:val="0"/>
              <w:rPr>
                <w:rFonts w:ascii="Calibri" w:hAnsi="Calibri" w:cs="Calibri"/>
                <w:color w:val="000000"/>
                <w:sz w:val="22"/>
                <w:szCs w:val="22"/>
                <w:lang w:eastAsia="lv-LV"/>
              </w:rPr>
            </w:pPr>
          </w:p>
          <w:p w:rsidR="008969BD" w:rsidRDefault="00613944">
            <w:pPr>
              <w:autoSpaceDE w:val="0"/>
              <w:autoSpaceDN w:val="0"/>
              <w:adjustRightInd w:val="0"/>
              <w:rPr>
                <w:rFonts w:ascii="Calibri" w:hAnsi="Calibri" w:cs="Calibri"/>
                <w:color w:val="000000"/>
                <w:sz w:val="22"/>
                <w:szCs w:val="22"/>
                <w:lang w:eastAsia="lv-LV"/>
              </w:rPr>
            </w:pPr>
            <w:r w:rsidRPr="00613944">
              <w:rPr>
                <w:rFonts w:ascii="Calibri" w:hAnsi="Calibri" w:cs="Calibri"/>
                <w:noProof/>
                <w:color w:val="000000"/>
                <w:sz w:val="22"/>
                <w:szCs w:val="22"/>
                <w:lang w:eastAsia="lv-LV"/>
              </w:rPr>
              <w:drawing>
                <wp:inline distT="0" distB="0" distL="0" distR="0">
                  <wp:extent cx="5829300" cy="3838575"/>
                  <wp:effectExtent l="1905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3B31" w:rsidRDefault="00DF3B31">
            <w:pPr>
              <w:autoSpaceDE w:val="0"/>
              <w:autoSpaceDN w:val="0"/>
              <w:adjustRightInd w:val="0"/>
              <w:rPr>
                <w:rFonts w:ascii="Calibri" w:hAnsi="Calibri" w:cs="Calibri"/>
                <w:color w:val="000000"/>
                <w:sz w:val="22"/>
                <w:szCs w:val="22"/>
                <w:lang w:eastAsia="lv-LV"/>
              </w:rPr>
            </w:pPr>
          </w:p>
          <w:p w:rsidR="00DF3B31" w:rsidRDefault="00DF3B31">
            <w:pPr>
              <w:autoSpaceDE w:val="0"/>
              <w:autoSpaceDN w:val="0"/>
              <w:adjustRightInd w:val="0"/>
              <w:rPr>
                <w:rFonts w:ascii="Calibri" w:hAnsi="Calibri" w:cs="Calibri"/>
                <w:color w:val="000000"/>
                <w:sz w:val="22"/>
                <w:szCs w:val="22"/>
                <w:lang w:eastAsia="lv-LV"/>
              </w:rPr>
            </w:pPr>
          </w:p>
          <w:p w:rsidR="008969BD" w:rsidRDefault="008969BD">
            <w:pPr>
              <w:autoSpaceDE w:val="0"/>
              <w:autoSpaceDN w:val="0"/>
              <w:adjustRightInd w:val="0"/>
              <w:rPr>
                <w:rFonts w:ascii="Calibri" w:hAnsi="Calibri" w:cs="Calibri"/>
                <w:color w:val="000000"/>
                <w:sz w:val="22"/>
                <w:szCs w:val="22"/>
                <w:lang w:eastAsia="lv-LV"/>
              </w:rPr>
            </w:pPr>
          </w:p>
          <w:p w:rsidR="00DF3B31" w:rsidRDefault="00DF3B31" w:rsidP="00464C2B">
            <w:pPr>
              <w:autoSpaceDE w:val="0"/>
              <w:autoSpaceDN w:val="0"/>
              <w:adjustRightInd w:val="0"/>
              <w:rPr>
                <w:rFonts w:ascii="Calibri" w:hAnsi="Calibri" w:cs="Calibri"/>
                <w:color w:val="000000"/>
                <w:sz w:val="22"/>
                <w:szCs w:val="22"/>
                <w:lang w:eastAsia="lv-LV"/>
              </w:rPr>
            </w:pPr>
          </w:p>
          <w:p w:rsidR="00464C2B" w:rsidRDefault="00464C2B" w:rsidP="00464C2B">
            <w:pPr>
              <w:autoSpaceDE w:val="0"/>
              <w:autoSpaceDN w:val="0"/>
              <w:adjustRightInd w:val="0"/>
              <w:rPr>
                <w:rFonts w:ascii="Calibri" w:hAnsi="Calibri" w:cs="Calibri"/>
                <w:color w:val="000000"/>
                <w:sz w:val="22"/>
                <w:szCs w:val="22"/>
                <w:lang w:eastAsia="lv-LV"/>
              </w:rPr>
            </w:pPr>
          </w:p>
          <w:p w:rsidR="00464C2B" w:rsidRDefault="00464C2B" w:rsidP="00464C2B">
            <w:pPr>
              <w:autoSpaceDE w:val="0"/>
              <w:autoSpaceDN w:val="0"/>
              <w:adjustRightInd w:val="0"/>
              <w:rPr>
                <w:rFonts w:ascii="Calibri" w:hAnsi="Calibri" w:cs="Calibri"/>
                <w:color w:val="000000"/>
                <w:sz w:val="22"/>
                <w:szCs w:val="22"/>
                <w:lang w:eastAsia="lv-LV"/>
              </w:rPr>
            </w:pPr>
          </w:p>
          <w:p w:rsidR="00464C2B" w:rsidRPr="00920C23" w:rsidRDefault="00464C2B" w:rsidP="00464C2B">
            <w:pPr>
              <w:autoSpaceDE w:val="0"/>
              <w:autoSpaceDN w:val="0"/>
              <w:adjustRightInd w:val="0"/>
              <w:rPr>
                <w:rFonts w:ascii="Calibri" w:hAnsi="Calibri" w:cs="Calibri"/>
                <w:color w:val="000000"/>
                <w:sz w:val="22"/>
                <w:szCs w:val="22"/>
                <w:lang w:eastAsia="lv-LV"/>
              </w:rPr>
            </w:pPr>
          </w:p>
        </w:tc>
        <w:tc>
          <w:tcPr>
            <w:tcW w:w="191" w:type="dxa"/>
            <w:tcBorders>
              <w:top w:val="nil"/>
              <w:left w:val="nil"/>
              <w:bottom w:val="nil"/>
              <w:right w:val="nil"/>
            </w:tcBorders>
          </w:tcPr>
          <w:p w:rsidR="00B83360" w:rsidRPr="00920C23" w:rsidRDefault="00B83360">
            <w:pPr>
              <w:autoSpaceDE w:val="0"/>
              <w:autoSpaceDN w:val="0"/>
              <w:adjustRightInd w:val="0"/>
              <w:jc w:val="right"/>
              <w:rPr>
                <w:rFonts w:ascii="Calibri" w:hAnsi="Calibri" w:cs="Calibri"/>
                <w:color w:val="000000"/>
                <w:sz w:val="22"/>
                <w:szCs w:val="22"/>
                <w:lang w:eastAsia="lv-LV"/>
              </w:rPr>
            </w:pPr>
          </w:p>
        </w:tc>
        <w:tc>
          <w:tcPr>
            <w:tcW w:w="90" w:type="dxa"/>
            <w:tcBorders>
              <w:top w:val="nil"/>
              <w:left w:val="nil"/>
              <w:bottom w:val="nil"/>
              <w:right w:val="nil"/>
            </w:tcBorders>
          </w:tcPr>
          <w:p w:rsidR="00B83360" w:rsidRPr="00920C23" w:rsidRDefault="00B83360">
            <w:pPr>
              <w:autoSpaceDE w:val="0"/>
              <w:autoSpaceDN w:val="0"/>
              <w:adjustRightInd w:val="0"/>
              <w:jc w:val="right"/>
              <w:rPr>
                <w:rFonts w:ascii="Calibri" w:hAnsi="Calibri" w:cs="Calibri"/>
                <w:color w:val="000000"/>
                <w:sz w:val="22"/>
                <w:szCs w:val="22"/>
                <w:lang w:eastAsia="lv-LV"/>
              </w:rPr>
            </w:pPr>
          </w:p>
        </w:tc>
        <w:tc>
          <w:tcPr>
            <w:tcW w:w="309" w:type="dxa"/>
            <w:tcBorders>
              <w:top w:val="nil"/>
              <w:left w:val="nil"/>
              <w:bottom w:val="nil"/>
              <w:right w:val="nil"/>
            </w:tcBorders>
          </w:tcPr>
          <w:p w:rsidR="00B83360" w:rsidRPr="00920C23" w:rsidRDefault="00B83360">
            <w:pPr>
              <w:autoSpaceDE w:val="0"/>
              <w:autoSpaceDN w:val="0"/>
              <w:adjustRightInd w:val="0"/>
              <w:jc w:val="right"/>
              <w:rPr>
                <w:rFonts w:ascii="Calibri" w:hAnsi="Calibri" w:cs="Calibri"/>
                <w:color w:val="000000"/>
                <w:sz w:val="22"/>
                <w:szCs w:val="22"/>
                <w:lang w:eastAsia="lv-LV"/>
              </w:rPr>
            </w:pPr>
          </w:p>
        </w:tc>
        <w:tc>
          <w:tcPr>
            <w:tcW w:w="66" w:type="dxa"/>
            <w:tcBorders>
              <w:top w:val="nil"/>
              <w:left w:val="nil"/>
              <w:bottom w:val="nil"/>
              <w:right w:val="nil"/>
            </w:tcBorders>
          </w:tcPr>
          <w:p w:rsidR="00B83360" w:rsidRPr="00920C23" w:rsidRDefault="00B83360">
            <w:pPr>
              <w:autoSpaceDE w:val="0"/>
              <w:autoSpaceDN w:val="0"/>
              <w:adjustRightInd w:val="0"/>
              <w:jc w:val="right"/>
              <w:rPr>
                <w:rFonts w:ascii="Calibri" w:hAnsi="Calibri" w:cs="Calibri"/>
                <w:color w:val="000000"/>
                <w:sz w:val="36"/>
                <w:szCs w:val="36"/>
                <w:lang w:eastAsia="lv-LV"/>
              </w:rPr>
            </w:pPr>
          </w:p>
        </w:tc>
      </w:tr>
    </w:tbl>
    <w:p w:rsidR="00162BDE" w:rsidRDefault="00162BDE">
      <w:r>
        <w:rPr>
          <w:b/>
          <w:bCs/>
          <w:caps/>
        </w:rPr>
        <w:br w:type="page"/>
      </w:r>
    </w:p>
    <w:tbl>
      <w:tblPr>
        <w:tblW w:w="9551" w:type="dxa"/>
        <w:tblInd w:w="-254" w:type="dxa"/>
        <w:tblCellMar>
          <w:left w:w="30" w:type="dxa"/>
          <w:right w:w="30" w:type="dxa"/>
        </w:tblCellMar>
        <w:tblLook w:val="0000" w:firstRow="0" w:lastRow="0" w:firstColumn="0" w:lastColumn="0" w:noHBand="0" w:noVBand="0"/>
      </w:tblPr>
      <w:tblGrid>
        <w:gridCol w:w="2787"/>
        <w:gridCol w:w="2453"/>
        <w:gridCol w:w="2285"/>
        <w:gridCol w:w="2026"/>
      </w:tblGrid>
      <w:tr w:rsidR="007B4D09" w:rsidRPr="00920C23" w:rsidTr="00162BDE">
        <w:trPr>
          <w:trHeight w:val="319"/>
        </w:trPr>
        <w:tc>
          <w:tcPr>
            <w:tcW w:w="7525" w:type="dxa"/>
            <w:gridSpan w:val="3"/>
            <w:tcBorders>
              <w:bottom w:val="single" w:sz="12" w:space="0" w:color="auto"/>
            </w:tcBorders>
          </w:tcPr>
          <w:p w:rsidR="00162BDE" w:rsidRDefault="00162BDE" w:rsidP="00162BDE">
            <w:pPr>
              <w:pStyle w:val="Virsraksts1"/>
              <w:numPr>
                <w:ilvl w:val="0"/>
                <w:numId w:val="0"/>
              </w:numPr>
              <w:jc w:val="left"/>
            </w:pPr>
          </w:p>
          <w:p w:rsidR="00BE24AD" w:rsidRPr="00162BDE" w:rsidRDefault="00BE24AD" w:rsidP="00162BDE">
            <w:pPr>
              <w:pStyle w:val="Virsraksts1"/>
            </w:pPr>
            <w:bookmarkStart w:id="16" w:name="_Toc498420728"/>
            <w:r w:rsidRPr="00162BDE">
              <w:t>ĪSTERMIŅA UN ILGTERMIŅA SAISTĪBU GRAFIKS</w:t>
            </w:r>
            <w:bookmarkEnd w:id="16"/>
          </w:p>
          <w:p w:rsidR="000B350A" w:rsidRDefault="000B350A" w:rsidP="00F441BD">
            <w:pPr>
              <w:autoSpaceDE w:val="0"/>
              <w:autoSpaceDN w:val="0"/>
              <w:adjustRightInd w:val="0"/>
              <w:jc w:val="center"/>
              <w:rPr>
                <w:rFonts w:ascii="Calibri" w:hAnsi="Calibri" w:cs="Calibri"/>
                <w:b/>
                <w:bCs/>
                <w:color w:val="000000"/>
                <w:lang w:eastAsia="lv-LV"/>
              </w:rPr>
            </w:pPr>
          </w:p>
          <w:p w:rsidR="000B350A" w:rsidRPr="00920C23" w:rsidRDefault="000B350A" w:rsidP="00F441BD">
            <w:pPr>
              <w:autoSpaceDE w:val="0"/>
              <w:autoSpaceDN w:val="0"/>
              <w:adjustRightInd w:val="0"/>
              <w:jc w:val="center"/>
              <w:rPr>
                <w:rFonts w:ascii="Calibri" w:hAnsi="Calibri" w:cs="Calibri"/>
                <w:b/>
                <w:bCs/>
                <w:color w:val="000000"/>
                <w:lang w:eastAsia="lv-LV"/>
              </w:rPr>
            </w:pPr>
            <w:r>
              <w:rPr>
                <w:rFonts w:ascii="Calibri" w:hAnsi="Calibri" w:cs="Calibri"/>
                <w:b/>
                <w:bCs/>
                <w:color w:val="000000"/>
                <w:lang w:eastAsia="lv-LV"/>
              </w:rPr>
              <w:t xml:space="preserve">           ĪS</w:t>
            </w:r>
            <w:r w:rsidRPr="00920C23">
              <w:rPr>
                <w:rFonts w:ascii="Calibri" w:hAnsi="Calibri" w:cs="Calibri"/>
                <w:b/>
                <w:bCs/>
                <w:color w:val="000000"/>
                <w:lang w:eastAsia="lv-LV"/>
              </w:rPr>
              <w:t>TERMIŅA SAISTĪBAS</w:t>
            </w:r>
          </w:p>
        </w:tc>
        <w:tc>
          <w:tcPr>
            <w:tcW w:w="2026" w:type="dxa"/>
            <w:tcBorders>
              <w:bottom w:val="single" w:sz="12" w:space="0" w:color="auto"/>
            </w:tcBorders>
          </w:tcPr>
          <w:p w:rsidR="000B350A" w:rsidRDefault="000B350A">
            <w:pPr>
              <w:autoSpaceDE w:val="0"/>
              <w:autoSpaceDN w:val="0"/>
              <w:adjustRightInd w:val="0"/>
              <w:rPr>
                <w:rFonts w:ascii="Calibri" w:hAnsi="Calibri" w:cs="Calibri"/>
                <w:b/>
                <w:bCs/>
                <w:color w:val="000000"/>
                <w:lang w:eastAsia="lv-LV"/>
              </w:rPr>
            </w:pPr>
          </w:p>
          <w:p w:rsidR="000B350A" w:rsidRDefault="000B350A">
            <w:pPr>
              <w:autoSpaceDE w:val="0"/>
              <w:autoSpaceDN w:val="0"/>
              <w:adjustRightInd w:val="0"/>
              <w:rPr>
                <w:rFonts w:ascii="Calibri" w:hAnsi="Calibri" w:cs="Calibri"/>
                <w:b/>
                <w:bCs/>
                <w:color w:val="000000"/>
                <w:lang w:eastAsia="lv-LV"/>
              </w:rPr>
            </w:pPr>
          </w:p>
          <w:p w:rsidR="000B350A" w:rsidRDefault="000B350A">
            <w:pPr>
              <w:autoSpaceDE w:val="0"/>
              <w:autoSpaceDN w:val="0"/>
              <w:adjustRightInd w:val="0"/>
              <w:rPr>
                <w:rFonts w:ascii="Calibri" w:hAnsi="Calibri" w:cs="Calibri"/>
                <w:b/>
                <w:bCs/>
                <w:color w:val="000000"/>
                <w:lang w:eastAsia="lv-LV"/>
              </w:rPr>
            </w:pPr>
          </w:p>
          <w:p w:rsidR="002F57E2" w:rsidRPr="00920C23" w:rsidRDefault="002F57E2" w:rsidP="002F57E2">
            <w:pPr>
              <w:autoSpaceDE w:val="0"/>
              <w:autoSpaceDN w:val="0"/>
              <w:adjustRightInd w:val="0"/>
              <w:jc w:val="right"/>
              <w:rPr>
                <w:rFonts w:ascii="Calibri" w:hAnsi="Calibri" w:cs="Calibri"/>
                <w:bCs/>
                <w:color w:val="000000"/>
                <w:sz w:val="20"/>
                <w:szCs w:val="20"/>
                <w:lang w:eastAsia="lv-LV"/>
              </w:rPr>
            </w:pPr>
            <w:r w:rsidRPr="00920C23">
              <w:rPr>
                <w:rFonts w:ascii="Calibri" w:hAnsi="Calibri" w:cs="Calibri"/>
                <w:bCs/>
                <w:color w:val="000000"/>
                <w:sz w:val="20"/>
                <w:szCs w:val="20"/>
                <w:lang w:eastAsia="lv-LV"/>
              </w:rPr>
              <w:t>tabula Nr.5</w:t>
            </w:r>
          </w:p>
        </w:tc>
      </w:tr>
      <w:tr w:rsidR="00305E7E" w:rsidRPr="00920C23" w:rsidTr="00162BDE">
        <w:trPr>
          <w:trHeight w:val="319"/>
        </w:trPr>
        <w:tc>
          <w:tcPr>
            <w:tcW w:w="2787" w:type="dxa"/>
            <w:tcBorders>
              <w:top w:val="single" w:sz="12" w:space="0" w:color="auto"/>
              <w:left w:val="single" w:sz="12" w:space="0" w:color="auto"/>
              <w:bottom w:val="single" w:sz="12" w:space="0" w:color="auto"/>
              <w:right w:val="single" w:sz="6" w:space="0" w:color="auto"/>
            </w:tcBorders>
          </w:tcPr>
          <w:p w:rsidR="00BE24AD" w:rsidRPr="00920C23" w:rsidRDefault="00BE24AD">
            <w:pPr>
              <w:autoSpaceDE w:val="0"/>
              <w:autoSpaceDN w:val="0"/>
              <w:adjustRightInd w:val="0"/>
              <w:rPr>
                <w:rFonts w:ascii="Calibri" w:hAnsi="Calibri" w:cs="Calibri"/>
                <w:b/>
                <w:bCs/>
                <w:color w:val="000000"/>
                <w:lang w:eastAsia="lv-LV"/>
              </w:rPr>
            </w:pPr>
            <w:r w:rsidRPr="00920C23">
              <w:rPr>
                <w:rFonts w:ascii="Calibri" w:hAnsi="Calibri" w:cs="Calibri"/>
                <w:b/>
                <w:bCs/>
                <w:color w:val="000000"/>
                <w:lang w:eastAsia="lv-LV"/>
              </w:rPr>
              <w:t>Kredīta mērķis</w:t>
            </w:r>
          </w:p>
        </w:tc>
        <w:tc>
          <w:tcPr>
            <w:tcW w:w="2453" w:type="dxa"/>
            <w:tcBorders>
              <w:top w:val="single" w:sz="12" w:space="0" w:color="auto"/>
              <w:left w:val="single" w:sz="6" w:space="0" w:color="auto"/>
              <w:bottom w:val="single" w:sz="12" w:space="0" w:color="auto"/>
              <w:right w:val="single" w:sz="6" w:space="0" w:color="auto"/>
            </w:tcBorders>
          </w:tcPr>
          <w:p w:rsidR="00BE24AD" w:rsidRPr="00920C23" w:rsidRDefault="00BE24AD" w:rsidP="007B4D09">
            <w:pPr>
              <w:autoSpaceDE w:val="0"/>
              <w:autoSpaceDN w:val="0"/>
              <w:adjustRightInd w:val="0"/>
              <w:jc w:val="center"/>
              <w:rPr>
                <w:rFonts w:ascii="Calibri" w:hAnsi="Calibri" w:cs="Calibri"/>
                <w:b/>
                <w:bCs/>
                <w:color w:val="000000"/>
                <w:lang w:eastAsia="lv-LV"/>
              </w:rPr>
            </w:pPr>
            <w:r w:rsidRPr="00920C23">
              <w:rPr>
                <w:rFonts w:ascii="Calibri" w:hAnsi="Calibri" w:cs="Calibri"/>
                <w:b/>
                <w:bCs/>
                <w:color w:val="000000"/>
                <w:lang w:eastAsia="lv-LV"/>
              </w:rPr>
              <w:t>201</w:t>
            </w:r>
            <w:r w:rsidR="007B4D09">
              <w:rPr>
                <w:rFonts w:ascii="Calibri" w:hAnsi="Calibri" w:cs="Calibri"/>
                <w:b/>
                <w:bCs/>
                <w:color w:val="000000"/>
                <w:lang w:eastAsia="lv-LV"/>
              </w:rPr>
              <w:t>7</w:t>
            </w:r>
            <w:r w:rsidRPr="00920C23">
              <w:rPr>
                <w:rFonts w:ascii="Calibri" w:hAnsi="Calibri" w:cs="Calibri"/>
                <w:b/>
                <w:bCs/>
                <w:color w:val="000000"/>
                <w:lang w:eastAsia="lv-LV"/>
              </w:rPr>
              <w:t>.g.</w:t>
            </w:r>
          </w:p>
        </w:tc>
        <w:tc>
          <w:tcPr>
            <w:tcW w:w="2285" w:type="dxa"/>
            <w:tcBorders>
              <w:top w:val="single" w:sz="12" w:space="0" w:color="auto"/>
              <w:left w:val="single" w:sz="6" w:space="0" w:color="auto"/>
              <w:bottom w:val="single" w:sz="12" w:space="0" w:color="auto"/>
              <w:right w:val="single" w:sz="6" w:space="0" w:color="auto"/>
            </w:tcBorders>
          </w:tcPr>
          <w:p w:rsidR="00BE24AD" w:rsidRPr="00920C23" w:rsidRDefault="00BE24AD" w:rsidP="007B4D09">
            <w:pPr>
              <w:autoSpaceDE w:val="0"/>
              <w:autoSpaceDN w:val="0"/>
              <w:adjustRightInd w:val="0"/>
              <w:jc w:val="center"/>
              <w:rPr>
                <w:rFonts w:ascii="Calibri" w:hAnsi="Calibri" w:cs="Calibri"/>
                <w:b/>
                <w:bCs/>
                <w:color w:val="000000"/>
                <w:lang w:eastAsia="lv-LV"/>
              </w:rPr>
            </w:pPr>
            <w:r w:rsidRPr="00920C23">
              <w:rPr>
                <w:rFonts w:ascii="Calibri" w:hAnsi="Calibri" w:cs="Calibri"/>
                <w:b/>
                <w:bCs/>
                <w:color w:val="000000"/>
                <w:lang w:eastAsia="lv-LV"/>
              </w:rPr>
              <w:t>201</w:t>
            </w:r>
            <w:r w:rsidR="007B4D09">
              <w:rPr>
                <w:rFonts w:ascii="Calibri" w:hAnsi="Calibri" w:cs="Calibri"/>
                <w:b/>
                <w:bCs/>
                <w:color w:val="000000"/>
                <w:lang w:eastAsia="lv-LV"/>
              </w:rPr>
              <w:t>8</w:t>
            </w:r>
            <w:r w:rsidRPr="00920C23">
              <w:rPr>
                <w:rFonts w:ascii="Calibri" w:hAnsi="Calibri" w:cs="Calibri"/>
                <w:b/>
                <w:bCs/>
                <w:color w:val="000000"/>
                <w:lang w:eastAsia="lv-LV"/>
              </w:rPr>
              <w:t>.g.</w:t>
            </w:r>
          </w:p>
        </w:tc>
        <w:tc>
          <w:tcPr>
            <w:tcW w:w="2026" w:type="dxa"/>
            <w:tcBorders>
              <w:top w:val="single" w:sz="12" w:space="0" w:color="auto"/>
              <w:left w:val="single" w:sz="6" w:space="0" w:color="auto"/>
              <w:bottom w:val="single" w:sz="12" w:space="0" w:color="auto"/>
              <w:right w:val="single" w:sz="6" w:space="0" w:color="auto"/>
            </w:tcBorders>
          </w:tcPr>
          <w:p w:rsidR="00BE24AD" w:rsidRPr="00920C23" w:rsidRDefault="00BE24AD" w:rsidP="007B4D09">
            <w:pPr>
              <w:autoSpaceDE w:val="0"/>
              <w:autoSpaceDN w:val="0"/>
              <w:adjustRightInd w:val="0"/>
              <w:jc w:val="center"/>
              <w:rPr>
                <w:rFonts w:ascii="Calibri" w:hAnsi="Calibri" w:cs="Calibri"/>
                <w:b/>
                <w:bCs/>
                <w:color w:val="000000"/>
                <w:lang w:eastAsia="lv-LV"/>
              </w:rPr>
            </w:pPr>
            <w:r w:rsidRPr="00920C23">
              <w:rPr>
                <w:rFonts w:ascii="Calibri" w:hAnsi="Calibri" w:cs="Calibri"/>
                <w:b/>
                <w:bCs/>
                <w:color w:val="000000"/>
                <w:lang w:eastAsia="lv-LV"/>
              </w:rPr>
              <w:t>201</w:t>
            </w:r>
            <w:r w:rsidR="007B4D09">
              <w:rPr>
                <w:rFonts w:ascii="Calibri" w:hAnsi="Calibri" w:cs="Calibri"/>
                <w:b/>
                <w:bCs/>
                <w:color w:val="000000"/>
                <w:lang w:eastAsia="lv-LV"/>
              </w:rPr>
              <w:t>9</w:t>
            </w:r>
            <w:r w:rsidRPr="00920C23">
              <w:rPr>
                <w:rFonts w:ascii="Calibri" w:hAnsi="Calibri" w:cs="Calibri"/>
                <w:b/>
                <w:bCs/>
                <w:color w:val="000000"/>
                <w:lang w:eastAsia="lv-LV"/>
              </w:rPr>
              <w:t>.g.</w:t>
            </w:r>
          </w:p>
        </w:tc>
      </w:tr>
      <w:tr w:rsidR="00305E7E" w:rsidRPr="00920C23" w:rsidTr="00162BDE">
        <w:trPr>
          <w:trHeight w:val="305"/>
        </w:trPr>
        <w:tc>
          <w:tcPr>
            <w:tcW w:w="2787" w:type="dxa"/>
            <w:tcBorders>
              <w:top w:val="nil"/>
              <w:left w:val="single" w:sz="6" w:space="0" w:color="auto"/>
              <w:bottom w:val="single" w:sz="6" w:space="0" w:color="auto"/>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sidRPr="00920C23">
              <w:rPr>
                <w:rFonts w:ascii="Calibri" w:hAnsi="Calibri" w:cs="Calibri"/>
                <w:color w:val="000000"/>
                <w:lang w:eastAsia="lv-LV"/>
              </w:rPr>
              <w:t>,,LIEPAS"</w:t>
            </w:r>
          </w:p>
        </w:tc>
        <w:tc>
          <w:tcPr>
            <w:tcW w:w="2453" w:type="dxa"/>
            <w:tcBorders>
              <w:top w:val="nil"/>
              <w:left w:val="single" w:sz="6" w:space="0" w:color="auto"/>
              <w:bottom w:val="single" w:sz="6" w:space="0" w:color="auto"/>
              <w:right w:val="single" w:sz="6" w:space="0" w:color="auto"/>
            </w:tcBorders>
          </w:tcPr>
          <w:p w:rsidR="007B4D09" w:rsidRPr="00920C23" w:rsidRDefault="007B4D09" w:rsidP="000B350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10</w:t>
            </w:r>
            <w:r w:rsidR="000B350A">
              <w:rPr>
                <w:rFonts w:ascii="Calibri" w:hAnsi="Calibri" w:cs="Calibri"/>
                <w:color w:val="000000"/>
                <w:lang w:eastAsia="lv-LV"/>
              </w:rPr>
              <w:t xml:space="preserve"> </w:t>
            </w:r>
            <w:r w:rsidRPr="00920C23">
              <w:rPr>
                <w:rFonts w:ascii="Calibri" w:hAnsi="Calibri" w:cs="Calibri"/>
                <w:color w:val="000000"/>
                <w:lang w:eastAsia="lv-LV"/>
              </w:rPr>
              <w:t>796</w:t>
            </w:r>
          </w:p>
        </w:tc>
        <w:tc>
          <w:tcPr>
            <w:tcW w:w="2285" w:type="dxa"/>
            <w:tcBorders>
              <w:top w:val="nil"/>
              <w:left w:val="single" w:sz="6" w:space="0" w:color="auto"/>
              <w:bottom w:val="single" w:sz="6" w:space="0" w:color="auto"/>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10</w:t>
            </w:r>
            <w:r w:rsidR="008A0BCA">
              <w:rPr>
                <w:rFonts w:ascii="Calibri" w:hAnsi="Calibri" w:cs="Calibri"/>
                <w:color w:val="000000"/>
                <w:lang w:eastAsia="lv-LV"/>
              </w:rPr>
              <w:t xml:space="preserve"> </w:t>
            </w:r>
            <w:r w:rsidRPr="00920C23">
              <w:rPr>
                <w:rFonts w:ascii="Calibri" w:hAnsi="Calibri" w:cs="Calibri"/>
                <w:color w:val="000000"/>
                <w:lang w:eastAsia="lv-LV"/>
              </w:rPr>
              <w:t>796</w:t>
            </w:r>
          </w:p>
        </w:tc>
        <w:tc>
          <w:tcPr>
            <w:tcW w:w="2026" w:type="dxa"/>
            <w:tcBorders>
              <w:top w:val="nil"/>
              <w:left w:val="single" w:sz="6" w:space="0" w:color="auto"/>
              <w:bottom w:val="single" w:sz="6" w:space="0" w:color="auto"/>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10</w:t>
            </w:r>
            <w:r w:rsidR="008A0BCA">
              <w:rPr>
                <w:rFonts w:ascii="Calibri" w:hAnsi="Calibri" w:cs="Calibri"/>
                <w:color w:val="000000"/>
                <w:lang w:eastAsia="lv-LV"/>
              </w:rPr>
              <w:t xml:space="preserve"> </w:t>
            </w:r>
            <w:r w:rsidRPr="00920C23">
              <w:rPr>
                <w:rFonts w:ascii="Calibri" w:hAnsi="Calibri" w:cs="Calibri"/>
                <w:color w:val="000000"/>
                <w:lang w:eastAsia="lv-LV"/>
              </w:rPr>
              <w:t>796</w:t>
            </w:r>
          </w:p>
        </w:tc>
      </w:tr>
      <w:tr w:rsidR="00305E7E" w:rsidRPr="00920C23" w:rsidTr="00162BDE">
        <w:trPr>
          <w:trHeight w:val="305"/>
        </w:trPr>
        <w:tc>
          <w:tcPr>
            <w:tcW w:w="2787" w:type="dxa"/>
            <w:tcBorders>
              <w:top w:val="single" w:sz="6" w:space="0" w:color="auto"/>
              <w:left w:val="single" w:sz="6" w:space="0" w:color="auto"/>
              <w:bottom w:val="single" w:sz="6" w:space="0" w:color="auto"/>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sidRPr="00920C23">
              <w:rPr>
                <w:rFonts w:ascii="Calibri" w:hAnsi="Calibri" w:cs="Calibri"/>
                <w:color w:val="000000"/>
                <w:lang w:eastAsia="lv-LV"/>
              </w:rPr>
              <w:t>Indrānu iela 3, Koknese</w:t>
            </w:r>
          </w:p>
        </w:tc>
        <w:tc>
          <w:tcPr>
            <w:tcW w:w="2453" w:type="dxa"/>
            <w:tcBorders>
              <w:top w:val="single" w:sz="6" w:space="0" w:color="auto"/>
              <w:left w:val="single" w:sz="6" w:space="0" w:color="auto"/>
              <w:bottom w:val="single" w:sz="6" w:space="0" w:color="auto"/>
              <w:right w:val="single" w:sz="6" w:space="0" w:color="auto"/>
            </w:tcBorders>
          </w:tcPr>
          <w:p w:rsidR="007B4D09" w:rsidRPr="00920C23" w:rsidRDefault="007B4D09" w:rsidP="000B350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5 9</w:t>
            </w:r>
            <w:r w:rsidR="000B350A">
              <w:rPr>
                <w:rFonts w:ascii="Calibri" w:hAnsi="Calibri" w:cs="Calibri"/>
                <w:color w:val="000000"/>
                <w:lang w:eastAsia="lv-LV"/>
              </w:rPr>
              <w:t>9</w:t>
            </w:r>
            <w:r w:rsidR="008969BD">
              <w:rPr>
                <w:rFonts w:ascii="Calibri" w:hAnsi="Calibri" w:cs="Calibri"/>
                <w:color w:val="000000"/>
                <w:lang w:eastAsia="lv-LV"/>
              </w:rPr>
              <w:t>2</w:t>
            </w:r>
          </w:p>
        </w:tc>
        <w:tc>
          <w:tcPr>
            <w:tcW w:w="2285" w:type="dxa"/>
            <w:tcBorders>
              <w:top w:val="single" w:sz="6" w:space="0" w:color="auto"/>
              <w:left w:val="single" w:sz="6" w:space="0" w:color="auto"/>
              <w:bottom w:val="single" w:sz="6" w:space="0" w:color="auto"/>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5 99</w:t>
            </w:r>
            <w:r w:rsidR="008A0BCA">
              <w:rPr>
                <w:rFonts w:ascii="Calibri" w:hAnsi="Calibri" w:cs="Calibri"/>
                <w:color w:val="000000"/>
                <w:lang w:eastAsia="lv-LV"/>
              </w:rPr>
              <w:t>2</w:t>
            </w:r>
          </w:p>
        </w:tc>
        <w:tc>
          <w:tcPr>
            <w:tcW w:w="2026" w:type="dxa"/>
            <w:tcBorders>
              <w:top w:val="single" w:sz="6" w:space="0" w:color="auto"/>
              <w:left w:val="single" w:sz="6" w:space="0" w:color="auto"/>
              <w:bottom w:val="single" w:sz="6" w:space="0" w:color="auto"/>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5 99</w:t>
            </w:r>
            <w:r w:rsidR="008A0BCA">
              <w:rPr>
                <w:rFonts w:ascii="Calibri" w:hAnsi="Calibri" w:cs="Calibri"/>
                <w:color w:val="000000"/>
                <w:lang w:eastAsia="lv-LV"/>
              </w:rPr>
              <w:t>2</w:t>
            </w:r>
          </w:p>
        </w:tc>
      </w:tr>
      <w:tr w:rsidR="00305E7E" w:rsidRPr="00920C23" w:rsidTr="00162BDE">
        <w:trPr>
          <w:trHeight w:val="305"/>
        </w:trPr>
        <w:tc>
          <w:tcPr>
            <w:tcW w:w="2787" w:type="dxa"/>
            <w:tcBorders>
              <w:top w:val="single" w:sz="6" w:space="0" w:color="auto"/>
              <w:left w:val="single" w:sz="6" w:space="0" w:color="auto"/>
              <w:bottom w:val="single" w:sz="6" w:space="0" w:color="auto"/>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sidRPr="00920C23">
              <w:rPr>
                <w:rFonts w:ascii="Calibri" w:hAnsi="Calibri" w:cs="Calibri"/>
                <w:color w:val="000000"/>
                <w:lang w:eastAsia="lv-LV"/>
              </w:rPr>
              <w:t>Indrānu iela 7, Koknese</w:t>
            </w:r>
          </w:p>
        </w:tc>
        <w:tc>
          <w:tcPr>
            <w:tcW w:w="2453" w:type="dxa"/>
            <w:tcBorders>
              <w:top w:val="single" w:sz="6" w:space="0" w:color="auto"/>
              <w:left w:val="single" w:sz="6" w:space="0" w:color="auto"/>
              <w:bottom w:val="single" w:sz="6" w:space="0" w:color="auto"/>
              <w:right w:val="single" w:sz="6" w:space="0" w:color="auto"/>
            </w:tcBorders>
          </w:tcPr>
          <w:p w:rsidR="007B4D09" w:rsidRPr="00920C23" w:rsidRDefault="007B4D09" w:rsidP="000B350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12</w:t>
            </w:r>
            <w:r w:rsidR="008A0BCA">
              <w:rPr>
                <w:rFonts w:ascii="Calibri" w:hAnsi="Calibri" w:cs="Calibri"/>
                <w:color w:val="000000"/>
                <w:lang w:eastAsia="lv-LV"/>
              </w:rPr>
              <w:t xml:space="preserve"> </w:t>
            </w:r>
            <w:r w:rsidRPr="00920C23">
              <w:rPr>
                <w:rFonts w:ascii="Calibri" w:hAnsi="Calibri" w:cs="Calibri"/>
                <w:color w:val="000000"/>
                <w:lang w:eastAsia="lv-LV"/>
              </w:rPr>
              <w:t>57</w:t>
            </w:r>
            <w:r w:rsidR="008969BD">
              <w:rPr>
                <w:rFonts w:ascii="Calibri" w:hAnsi="Calibri" w:cs="Calibri"/>
                <w:color w:val="000000"/>
                <w:lang w:eastAsia="lv-LV"/>
              </w:rPr>
              <w:t>8</w:t>
            </w:r>
          </w:p>
        </w:tc>
        <w:tc>
          <w:tcPr>
            <w:tcW w:w="2285" w:type="dxa"/>
            <w:tcBorders>
              <w:top w:val="single" w:sz="6" w:space="0" w:color="auto"/>
              <w:left w:val="single" w:sz="6" w:space="0" w:color="auto"/>
              <w:bottom w:val="single" w:sz="6" w:space="0" w:color="auto"/>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12</w:t>
            </w:r>
            <w:r w:rsidR="008A0BCA">
              <w:rPr>
                <w:rFonts w:ascii="Calibri" w:hAnsi="Calibri" w:cs="Calibri"/>
                <w:color w:val="000000"/>
                <w:lang w:eastAsia="lv-LV"/>
              </w:rPr>
              <w:t xml:space="preserve"> 578</w:t>
            </w:r>
            <w:r w:rsidRPr="00920C23">
              <w:rPr>
                <w:rFonts w:ascii="Calibri" w:hAnsi="Calibri" w:cs="Calibri"/>
                <w:color w:val="000000"/>
                <w:lang w:eastAsia="lv-LV"/>
              </w:rPr>
              <w:t>,</w:t>
            </w:r>
          </w:p>
        </w:tc>
        <w:tc>
          <w:tcPr>
            <w:tcW w:w="2026" w:type="dxa"/>
            <w:tcBorders>
              <w:top w:val="single" w:sz="6" w:space="0" w:color="auto"/>
              <w:left w:val="single" w:sz="6" w:space="0" w:color="auto"/>
              <w:bottom w:val="single" w:sz="6" w:space="0" w:color="auto"/>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12</w:t>
            </w:r>
            <w:r w:rsidR="008A0BCA">
              <w:rPr>
                <w:rFonts w:ascii="Calibri" w:hAnsi="Calibri" w:cs="Calibri"/>
                <w:color w:val="000000"/>
                <w:lang w:eastAsia="lv-LV"/>
              </w:rPr>
              <w:t xml:space="preserve"> </w:t>
            </w:r>
            <w:r w:rsidRPr="00920C23">
              <w:rPr>
                <w:rFonts w:ascii="Calibri" w:hAnsi="Calibri" w:cs="Calibri"/>
                <w:color w:val="000000"/>
                <w:lang w:eastAsia="lv-LV"/>
              </w:rPr>
              <w:t>57</w:t>
            </w:r>
            <w:r w:rsidR="008A0BCA">
              <w:rPr>
                <w:rFonts w:ascii="Calibri" w:hAnsi="Calibri" w:cs="Calibri"/>
                <w:color w:val="000000"/>
                <w:lang w:eastAsia="lv-LV"/>
              </w:rPr>
              <w:t>8</w:t>
            </w:r>
          </w:p>
        </w:tc>
      </w:tr>
      <w:tr w:rsidR="00305E7E" w:rsidRPr="00920C23" w:rsidTr="00162BDE">
        <w:trPr>
          <w:trHeight w:val="319"/>
        </w:trPr>
        <w:tc>
          <w:tcPr>
            <w:tcW w:w="2787" w:type="dxa"/>
            <w:tcBorders>
              <w:top w:val="single" w:sz="6" w:space="0" w:color="auto"/>
              <w:left w:val="single" w:sz="6" w:space="0" w:color="auto"/>
              <w:bottom w:val="nil"/>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sidRPr="00920C23">
              <w:rPr>
                <w:rFonts w:ascii="Calibri" w:hAnsi="Calibri" w:cs="Calibri"/>
                <w:color w:val="000000"/>
                <w:lang w:eastAsia="lv-LV"/>
              </w:rPr>
              <w:t>VALSTS KASE</w:t>
            </w:r>
          </w:p>
        </w:tc>
        <w:tc>
          <w:tcPr>
            <w:tcW w:w="2453" w:type="dxa"/>
            <w:tcBorders>
              <w:top w:val="single" w:sz="6" w:space="0" w:color="auto"/>
              <w:left w:val="single" w:sz="6" w:space="0" w:color="auto"/>
              <w:bottom w:val="nil"/>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49</w:t>
            </w:r>
            <w:r w:rsidR="008A0BCA">
              <w:rPr>
                <w:rFonts w:ascii="Calibri" w:hAnsi="Calibri" w:cs="Calibri"/>
                <w:color w:val="000000"/>
                <w:lang w:eastAsia="lv-LV"/>
              </w:rPr>
              <w:t xml:space="preserve"> 508</w:t>
            </w:r>
          </w:p>
        </w:tc>
        <w:tc>
          <w:tcPr>
            <w:tcW w:w="2285" w:type="dxa"/>
            <w:tcBorders>
              <w:top w:val="single" w:sz="6" w:space="0" w:color="auto"/>
              <w:left w:val="single" w:sz="6" w:space="0" w:color="auto"/>
              <w:bottom w:val="nil"/>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49 508</w:t>
            </w:r>
          </w:p>
        </w:tc>
        <w:tc>
          <w:tcPr>
            <w:tcW w:w="2026" w:type="dxa"/>
            <w:tcBorders>
              <w:top w:val="single" w:sz="6" w:space="0" w:color="auto"/>
              <w:left w:val="single" w:sz="6" w:space="0" w:color="auto"/>
              <w:bottom w:val="nil"/>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49 508</w:t>
            </w:r>
          </w:p>
        </w:tc>
      </w:tr>
      <w:tr w:rsidR="00305E7E" w:rsidRPr="00920C23" w:rsidTr="00162BDE">
        <w:trPr>
          <w:trHeight w:val="319"/>
        </w:trPr>
        <w:tc>
          <w:tcPr>
            <w:tcW w:w="2787" w:type="dxa"/>
            <w:tcBorders>
              <w:top w:val="single" w:sz="6" w:space="0" w:color="auto"/>
              <w:left w:val="single" w:sz="6" w:space="0" w:color="auto"/>
              <w:bottom w:val="nil"/>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Pr>
                <w:rFonts w:ascii="Calibri" w:hAnsi="Calibri" w:cs="Calibri"/>
                <w:color w:val="000000"/>
                <w:lang w:eastAsia="lv-LV"/>
              </w:rPr>
              <w:t>Pārējo māju renovācija</w:t>
            </w:r>
          </w:p>
        </w:tc>
        <w:tc>
          <w:tcPr>
            <w:tcW w:w="2453" w:type="dxa"/>
            <w:tcBorders>
              <w:top w:val="single" w:sz="6" w:space="0" w:color="auto"/>
              <w:left w:val="single" w:sz="6" w:space="0" w:color="auto"/>
              <w:bottom w:val="nil"/>
              <w:right w:val="single" w:sz="6" w:space="0" w:color="auto"/>
            </w:tcBorders>
          </w:tcPr>
          <w:p w:rsidR="007B4D09" w:rsidRPr="00920C23" w:rsidRDefault="007B4D09" w:rsidP="000B350A">
            <w:pPr>
              <w:autoSpaceDE w:val="0"/>
              <w:autoSpaceDN w:val="0"/>
              <w:adjustRightInd w:val="0"/>
              <w:jc w:val="right"/>
              <w:rPr>
                <w:rFonts w:ascii="Calibri" w:hAnsi="Calibri" w:cs="Calibri"/>
                <w:color w:val="000000"/>
                <w:lang w:eastAsia="lv-LV"/>
              </w:rPr>
            </w:pPr>
          </w:p>
        </w:tc>
        <w:tc>
          <w:tcPr>
            <w:tcW w:w="2285" w:type="dxa"/>
            <w:tcBorders>
              <w:top w:val="single" w:sz="6" w:space="0" w:color="auto"/>
              <w:left w:val="single" w:sz="6" w:space="0" w:color="auto"/>
              <w:bottom w:val="nil"/>
              <w:right w:val="single" w:sz="6" w:space="0" w:color="auto"/>
            </w:tcBorders>
          </w:tcPr>
          <w:p w:rsidR="007B4D09" w:rsidRPr="00920C23" w:rsidRDefault="007B4D09" w:rsidP="008A0BCA">
            <w:pPr>
              <w:autoSpaceDE w:val="0"/>
              <w:autoSpaceDN w:val="0"/>
              <w:adjustRightInd w:val="0"/>
              <w:jc w:val="right"/>
              <w:rPr>
                <w:rFonts w:ascii="Calibri" w:hAnsi="Calibri" w:cs="Calibri"/>
                <w:color w:val="000000"/>
                <w:lang w:eastAsia="lv-LV"/>
              </w:rPr>
            </w:pPr>
          </w:p>
        </w:tc>
        <w:tc>
          <w:tcPr>
            <w:tcW w:w="2026" w:type="dxa"/>
            <w:tcBorders>
              <w:top w:val="single" w:sz="6" w:space="0" w:color="auto"/>
              <w:left w:val="single" w:sz="6" w:space="0" w:color="auto"/>
              <w:bottom w:val="nil"/>
              <w:right w:val="single" w:sz="6" w:space="0" w:color="auto"/>
            </w:tcBorders>
          </w:tcPr>
          <w:p w:rsidR="007B4D09" w:rsidRPr="00920C23" w:rsidRDefault="00963590" w:rsidP="00963590">
            <w:pPr>
              <w:autoSpaceDE w:val="0"/>
              <w:autoSpaceDN w:val="0"/>
              <w:adjustRightInd w:val="0"/>
              <w:jc w:val="right"/>
              <w:rPr>
                <w:rFonts w:ascii="Calibri" w:hAnsi="Calibri" w:cs="Calibri"/>
                <w:color w:val="000000"/>
                <w:lang w:eastAsia="lv-LV"/>
              </w:rPr>
            </w:pPr>
            <w:r>
              <w:rPr>
                <w:rFonts w:ascii="Calibri" w:hAnsi="Calibri" w:cs="Calibri"/>
                <w:color w:val="000000"/>
                <w:lang w:eastAsia="lv-LV"/>
              </w:rPr>
              <w:t>3</w:t>
            </w:r>
            <w:r w:rsidR="007B4D09">
              <w:rPr>
                <w:rFonts w:ascii="Calibri" w:hAnsi="Calibri" w:cs="Calibri"/>
                <w:color w:val="000000"/>
                <w:lang w:eastAsia="lv-LV"/>
              </w:rPr>
              <w:t>0 000</w:t>
            </w:r>
          </w:p>
        </w:tc>
      </w:tr>
      <w:tr w:rsidR="00305E7E" w:rsidRPr="00920C23" w:rsidTr="00162BDE">
        <w:trPr>
          <w:trHeight w:val="319"/>
        </w:trPr>
        <w:tc>
          <w:tcPr>
            <w:tcW w:w="2787" w:type="dxa"/>
            <w:tcBorders>
              <w:top w:val="single" w:sz="12" w:space="0" w:color="auto"/>
              <w:left w:val="single" w:sz="12" w:space="0" w:color="auto"/>
              <w:bottom w:val="single" w:sz="12" w:space="0" w:color="auto"/>
              <w:right w:val="single" w:sz="6" w:space="0" w:color="auto"/>
            </w:tcBorders>
          </w:tcPr>
          <w:p w:rsidR="007B4D09" w:rsidRPr="00920C23" w:rsidRDefault="007B4D09">
            <w:pPr>
              <w:autoSpaceDE w:val="0"/>
              <w:autoSpaceDN w:val="0"/>
              <w:adjustRightInd w:val="0"/>
              <w:jc w:val="center"/>
              <w:rPr>
                <w:rFonts w:ascii="Calibri" w:hAnsi="Calibri" w:cs="Calibri"/>
                <w:b/>
                <w:bCs/>
                <w:color w:val="000000"/>
                <w:lang w:eastAsia="lv-LV"/>
              </w:rPr>
            </w:pPr>
            <w:r w:rsidRPr="00920C23">
              <w:rPr>
                <w:rFonts w:ascii="Calibri" w:hAnsi="Calibri" w:cs="Calibri"/>
                <w:b/>
                <w:bCs/>
                <w:color w:val="000000"/>
                <w:lang w:eastAsia="lv-LV"/>
              </w:rPr>
              <w:t xml:space="preserve">KOPĀ </w:t>
            </w:r>
          </w:p>
        </w:tc>
        <w:tc>
          <w:tcPr>
            <w:tcW w:w="2453" w:type="dxa"/>
            <w:tcBorders>
              <w:top w:val="single" w:sz="12" w:space="0" w:color="auto"/>
              <w:left w:val="single" w:sz="6" w:space="0" w:color="auto"/>
              <w:bottom w:val="single" w:sz="12" w:space="0" w:color="auto"/>
              <w:right w:val="single" w:sz="6" w:space="0" w:color="auto"/>
            </w:tcBorders>
          </w:tcPr>
          <w:p w:rsidR="007B4D09" w:rsidRPr="00920C23" w:rsidRDefault="007B4D09" w:rsidP="008A0BCA">
            <w:pPr>
              <w:autoSpaceDE w:val="0"/>
              <w:autoSpaceDN w:val="0"/>
              <w:adjustRightInd w:val="0"/>
              <w:jc w:val="right"/>
              <w:rPr>
                <w:rFonts w:ascii="Calibri" w:hAnsi="Calibri" w:cs="Calibri"/>
                <w:b/>
                <w:bCs/>
                <w:color w:val="000000"/>
                <w:lang w:eastAsia="lv-LV"/>
              </w:rPr>
            </w:pPr>
            <w:r w:rsidRPr="00920C23">
              <w:rPr>
                <w:rFonts w:ascii="Calibri" w:hAnsi="Calibri" w:cs="Calibri"/>
                <w:b/>
                <w:bCs/>
                <w:color w:val="000000"/>
                <w:lang w:eastAsia="lv-LV"/>
              </w:rPr>
              <w:t>78 87</w:t>
            </w:r>
            <w:r w:rsidR="008A0BCA">
              <w:rPr>
                <w:rFonts w:ascii="Calibri" w:hAnsi="Calibri" w:cs="Calibri"/>
                <w:b/>
                <w:bCs/>
                <w:color w:val="000000"/>
                <w:lang w:eastAsia="lv-LV"/>
              </w:rPr>
              <w:t>4</w:t>
            </w:r>
          </w:p>
        </w:tc>
        <w:tc>
          <w:tcPr>
            <w:tcW w:w="2285" w:type="dxa"/>
            <w:tcBorders>
              <w:top w:val="single" w:sz="12" w:space="0" w:color="auto"/>
              <w:left w:val="single" w:sz="6" w:space="0" w:color="auto"/>
              <w:bottom w:val="single" w:sz="12" w:space="0" w:color="auto"/>
              <w:right w:val="single" w:sz="6" w:space="0" w:color="auto"/>
            </w:tcBorders>
          </w:tcPr>
          <w:p w:rsidR="007B4D09" w:rsidRPr="00920C23" w:rsidRDefault="007B4D09" w:rsidP="008A0BCA">
            <w:pPr>
              <w:autoSpaceDE w:val="0"/>
              <w:autoSpaceDN w:val="0"/>
              <w:adjustRightInd w:val="0"/>
              <w:jc w:val="right"/>
              <w:rPr>
                <w:rFonts w:ascii="Calibri" w:hAnsi="Calibri" w:cs="Calibri"/>
                <w:b/>
                <w:bCs/>
                <w:color w:val="000000"/>
                <w:lang w:eastAsia="lv-LV"/>
              </w:rPr>
            </w:pPr>
            <w:r w:rsidRPr="00920C23">
              <w:rPr>
                <w:rFonts w:ascii="Calibri" w:hAnsi="Calibri" w:cs="Calibri"/>
                <w:b/>
                <w:bCs/>
                <w:color w:val="000000"/>
                <w:lang w:eastAsia="lv-LV"/>
              </w:rPr>
              <w:t>78 87</w:t>
            </w:r>
            <w:r w:rsidR="008A0BCA">
              <w:rPr>
                <w:rFonts w:ascii="Calibri" w:hAnsi="Calibri" w:cs="Calibri"/>
                <w:b/>
                <w:bCs/>
                <w:color w:val="000000"/>
                <w:lang w:eastAsia="lv-LV"/>
              </w:rPr>
              <w:t>4</w:t>
            </w:r>
          </w:p>
        </w:tc>
        <w:tc>
          <w:tcPr>
            <w:tcW w:w="2026" w:type="dxa"/>
            <w:tcBorders>
              <w:top w:val="single" w:sz="12" w:space="0" w:color="auto"/>
              <w:left w:val="single" w:sz="6" w:space="0" w:color="auto"/>
              <w:bottom w:val="single" w:sz="12" w:space="0" w:color="auto"/>
              <w:right w:val="single" w:sz="6" w:space="0" w:color="auto"/>
            </w:tcBorders>
          </w:tcPr>
          <w:p w:rsidR="007B4D09" w:rsidRPr="00920C23" w:rsidRDefault="007B4D09" w:rsidP="00963590">
            <w:pPr>
              <w:autoSpaceDE w:val="0"/>
              <w:autoSpaceDN w:val="0"/>
              <w:adjustRightInd w:val="0"/>
              <w:jc w:val="right"/>
              <w:rPr>
                <w:rFonts w:ascii="Calibri" w:hAnsi="Calibri" w:cs="Calibri"/>
                <w:b/>
                <w:bCs/>
                <w:color w:val="000000"/>
                <w:lang w:eastAsia="lv-LV"/>
              </w:rPr>
            </w:pPr>
            <w:r>
              <w:rPr>
                <w:rFonts w:ascii="Calibri" w:hAnsi="Calibri" w:cs="Calibri"/>
                <w:b/>
                <w:bCs/>
                <w:color w:val="000000"/>
                <w:lang w:eastAsia="lv-LV"/>
              </w:rPr>
              <w:t>1</w:t>
            </w:r>
            <w:r w:rsidR="00963590">
              <w:rPr>
                <w:rFonts w:ascii="Calibri" w:hAnsi="Calibri" w:cs="Calibri"/>
                <w:b/>
                <w:bCs/>
                <w:color w:val="000000"/>
                <w:lang w:eastAsia="lv-LV"/>
              </w:rPr>
              <w:t>0</w:t>
            </w:r>
            <w:r>
              <w:rPr>
                <w:rFonts w:ascii="Calibri" w:hAnsi="Calibri" w:cs="Calibri"/>
                <w:b/>
                <w:bCs/>
                <w:color w:val="000000"/>
                <w:lang w:eastAsia="lv-LV"/>
              </w:rPr>
              <w:t xml:space="preserve">8 </w:t>
            </w:r>
            <w:r w:rsidRPr="00920C23">
              <w:rPr>
                <w:rFonts w:ascii="Calibri" w:hAnsi="Calibri" w:cs="Calibri"/>
                <w:b/>
                <w:bCs/>
                <w:color w:val="000000"/>
                <w:lang w:eastAsia="lv-LV"/>
              </w:rPr>
              <w:t>87</w:t>
            </w:r>
            <w:r w:rsidR="008A0BCA">
              <w:rPr>
                <w:rFonts w:ascii="Calibri" w:hAnsi="Calibri" w:cs="Calibri"/>
                <w:b/>
                <w:bCs/>
                <w:color w:val="000000"/>
                <w:lang w:eastAsia="lv-LV"/>
              </w:rPr>
              <w:t>4</w:t>
            </w:r>
          </w:p>
        </w:tc>
      </w:tr>
      <w:tr w:rsidR="00305E7E" w:rsidRPr="00920C23" w:rsidTr="00162BDE">
        <w:trPr>
          <w:trHeight w:val="305"/>
        </w:trPr>
        <w:tc>
          <w:tcPr>
            <w:tcW w:w="2787" w:type="dxa"/>
            <w:tcBorders>
              <w:top w:val="nil"/>
              <w:left w:val="nil"/>
              <w:bottom w:val="nil"/>
              <w:right w:val="nil"/>
            </w:tcBorders>
          </w:tcPr>
          <w:p w:rsidR="00BE24AD" w:rsidRPr="00920C23" w:rsidRDefault="00BE24AD">
            <w:pPr>
              <w:autoSpaceDE w:val="0"/>
              <w:autoSpaceDN w:val="0"/>
              <w:adjustRightInd w:val="0"/>
              <w:jc w:val="right"/>
              <w:rPr>
                <w:rFonts w:ascii="Calibri" w:hAnsi="Calibri" w:cs="Calibri"/>
                <w:color w:val="000000"/>
                <w:lang w:eastAsia="lv-LV"/>
              </w:rPr>
            </w:pPr>
          </w:p>
        </w:tc>
        <w:tc>
          <w:tcPr>
            <w:tcW w:w="2453" w:type="dxa"/>
            <w:tcBorders>
              <w:top w:val="nil"/>
              <w:left w:val="nil"/>
              <w:bottom w:val="nil"/>
              <w:right w:val="nil"/>
            </w:tcBorders>
          </w:tcPr>
          <w:p w:rsidR="00BE24AD" w:rsidRPr="00920C23" w:rsidRDefault="00BE24AD">
            <w:pPr>
              <w:autoSpaceDE w:val="0"/>
              <w:autoSpaceDN w:val="0"/>
              <w:adjustRightInd w:val="0"/>
              <w:jc w:val="right"/>
              <w:rPr>
                <w:rFonts w:ascii="Calibri" w:hAnsi="Calibri" w:cs="Calibri"/>
                <w:color w:val="000000"/>
                <w:lang w:eastAsia="lv-LV"/>
              </w:rPr>
            </w:pPr>
          </w:p>
        </w:tc>
        <w:tc>
          <w:tcPr>
            <w:tcW w:w="2285" w:type="dxa"/>
            <w:tcBorders>
              <w:top w:val="nil"/>
              <w:left w:val="nil"/>
              <w:bottom w:val="nil"/>
              <w:right w:val="nil"/>
            </w:tcBorders>
          </w:tcPr>
          <w:p w:rsidR="00BE24AD" w:rsidRPr="00920C23" w:rsidRDefault="00BE24AD">
            <w:pPr>
              <w:autoSpaceDE w:val="0"/>
              <w:autoSpaceDN w:val="0"/>
              <w:adjustRightInd w:val="0"/>
              <w:jc w:val="right"/>
              <w:rPr>
                <w:rFonts w:ascii="Calibri" w:hAnsi="Calibri" w:cs="Calibri"/>
                <w:color w:val="000000"/>
                <w:lang w:eastAsia="lv-LV"/>
              </w:rPr>
            </w:pPr>
          </w:p>
        </w:tc>
        <w:tc>
          <w:tcPr>
            <w:tcW w:w="2026" w:type="dxa"/>
            <w:tcBorders>
              <w:top w:val="nil"/>
              <w:left w:val="nil"/>
              <w:bottom w:val="nil"/>
              <w:right w:val="nil"/>
            </w:tcBorders>
          </w:tcPr>
          <w:p w:rsidR="00BE24AD" w:rsidRPr="00920C23" w:rsidRDefault="00BE24AD">
            <w:pPr>
              <w:autoSpaceDE w:val="0"/>
              <w:autoSpaceDN w:val="0"/>
              <w:adjustRightInd w:val="0"/>
              <w:jc w:val="right"/>
              <w:rPr>
                <w:rFonts w:ascii="Calibri" w:hAnsi="Calibri" w:cs="Calibri"/>
                <w:color w:val="000000"/>
                <w:lang w:eastAsia="lv-LV"/>
              </w:rPr>
            </w:pPr>
          </w:p>
        </w:tc>
      </w:tr>
      <w:tr w:rsidR="00305E7E" w:rsidRPr="00920C23" w:rsidTr="00162BDE">
        <w:trPr>
          <w:trHeight w:val="319"/>
        </w:trPr>
        <w:tc>
          <w:tcPr>
            <w:tcW w:w="2787" w:type="dxa"/>
            <w:tcBorders>
              <w:top w:val="nil"/>
              <w:left w:val="nil"/>
              <w:right w:val="nil"/>
            </w:tcBorders>
          </w:tcPr>
          <w:p w:rsidR="00E72EA8" w:rsidRPr="00920C23" w:rsidRDefault="00E72EA8">
            <w:pPr>
              <w:autoSpaceDE w:val="0"/>
              <w:autoSpaceDN w:val="0"/>
              <w:adjustRightInd w:val="0"/>
              <w:jc w:val="right"/>
              <w:rPr>
                <w:rFonts w:ascii="Calibri" w:hAnsi="Calibri" w:cs="Calibri"/>
                <w:color w:val="000000"/>
                <w:lang w:eastAsia="lv-LV"/>
              </w:rPr>
            </w:pPr>
          </w:p>
        </w:tc>
        <w:tc>
          <w:tcPr>
            <w:tcW w:w="2453" w:type="dxa"/>
            <w:tcBorders>
              <w:top w:val="nil"/>
              <w:left w:val="nil"/>
              <w:right w:val="nil"/>
            </w:tcBorders>
          </w:tcPr>
          <w:p w:rsidR="00E72EA8" w:rsidRDefault="00E72EA8">
            <w:pPr>
              <w:autoSpaceDE w:val="0"/>
              <w:autoSpaceDN w:val="0"/>
              <w:adjustRightInd w:val="0"/>
              <w:jc w:val="right"/>
              <w:rPr>
                <w:rFonts w:ascii="Calibri" w:hAnsi="Calibri" w:cs="Calibri"/>
                <w:color w:val="000000"/>
                <w:lang w:eastAsia="lv-LV"/>
              </w:rPr>
            </w:pPr>
          </w:p>
          <w:p w:rsidR="008B7ED5" w:rsidRDefault="008B7ED5">
            <w:pPr>
              <w:autoSpaceDE w:val="0"/>
              <w:autoSpaceDN w:val="0"/>
              <w:adjustRightInd w:val="0"/>
              <w:jc w:val="right"/>
              <w:rPr>
                <w:rFonts w:ascii="Calibri" w:hAnsi="Calibri" w:cs="Calibri"/>
                <w:color w:val="000000"/>
                <w:lang w:eastAsia="lv-LV"/>
              </w:rPr>
            </w:pPr>
          </w:p>
          <w:p w:rsidR="00BF54D7" w:rsidRPr="00920C23" w:rsidRDefault="00BF54D7">
            <w:pPr>
              <w:autoSpaceDE w:val="0"/>
              <w:autoSpaceDN w:val="0"/>
              <w:adjustRightInd w:val="0"/>
              <w:jc w:val="right"/>
              <w:rPr>
                <w:rFonts w:ascii="Calibri" w:hAnsi="Calibri" w:cs="Calibri"/>
                <w:color w:val="000000"/>
                <w:lang w:eastAsia="lv-LV"/>
              </w:rPr>
            </w:pPr>
          </w:p>
        </w:tc>
        <w:tc>
          <w:tcPr>
            <w:tcW w:w="2285" w:type="dxa"/>
            <w:tcBorders>
              <w:top w:val="nil"/>
              <w:left w:val="nil"/>
              <w:right w:val="nil"/>
            </w:tcBorders>
          </w:tcPr>
          <w:p w:rsidR="00E72EA8" w:rsidRPr="00920C23" w:rsidRDefault="00E72EA8">
            <w:pPr>
              <w:autoSpaceDE w:val="0"/>
              <w:autoSpaceDN w:val="0"/>
              <w:adjustRightInd w:val="0"/>
              <w:jc w:val="right"/>
              <w:rPr>
                <w:rFonts w:ascii="Calibri" w:hAnsi="Calibri" w:cs="Calibri"/>
                <w:color w:val="000000"/>
                <w:lang w:eastAsia="lv-LV"/>
              </w:rPr>
            </w:pPr>
          </w:p>
        </w:tc>
        <w:tc>
          <w:tcPr>
            <w:tcW w:w="2026" w:type="dxa"/>
            <w:tcBorders>
              <w:top w:val="nil"/>
              <w:left w:val="nil"/>
              <w:right w:val="nil"/>
            </w:tcBorders>
          </w:tcPr>
          <w:p w:rsidR="00E72EA8" w:rsidRPr="00920C23" w:rsidRDefault="00E72EA8">
            <w:pPr>
              <w:autoSpaceDE w:val="0"/>
              <w:autoSpaceDN w:val="0"/>
              <w:adjustRightInd w:val="0"/>
              <w:jc w:val="right"/>
              <w:rPr>
                <w:rFonts w:ascii="Calibri" w:hAnsi="Calibri" w:cs="Calibri"/>
                <w:color w:val="000000"/>
                <w:lang w:eastAsia="lv-LV"/>
              </w:rPr>
            </w:pPr>
          </w:p>
        </w:tc>
      </w:tr>
      <w:tr w:rsidR="007B4D09" w:rsidRPr="00920C23" w:rsidTr="00162BDE">
        <w:trPr>
          <w:trHeight w:val="319"/>
        </w:trPr>
        <w:tc>
          <w:tcPr>
            <w:tcW w:w="2787" w:type="dxa"/>
            <w:tcBorders>
              <w:bottom w:val="single" w:sz="12" w:space="0" w:color="auto"/>
              <w:right w:val="nil"/>
            </w:tcBorders>
          </w:tcPr>
          <w:p w:rsidR="00BE24AD" w:rsidRPr="00920C23" w:rsidRDefault="00BE24AD">
            <w:pPr>
              <w:autoSpaceDE w:val="0"/>
              <w:autoSpaceDN w:val="0"/>
              <w:adjustRightInd w:val="0"/>
              <w:jc w:val="right"/>
              <w:rPr>
                <w:rFonts w:ascii="Calibri" w:hAnsi="Calibri" w:cs="Calibri"/>
                <w:color w:val="000000"/>
                <w:lang w:eastAsia="lv-LV"/>
              </w:rPr>
            </w:pPr>
          </w:p>
        </w:tc>
        <w:tc>
          <w:tcPr>
            <w:tcW w:w="4738" w:type="dxa"/>
            <w:gridSpan w:val="2"/>
            <w:tcBorders>
              <w:left w:val="nil"/>
              <w:bottom w:val="single" w:sz="12" w:space="0" w:color="auto"/>
              <w:right w:val="nil"/>
            </w:tcBorders>
          </w:tcPr>
          <w:p w:rsidR="00BE24AD" w:rsidRPr="00920C23" w:rsidRDefault="00BE24AD" w:rsidP="000B350A">
            <w:pPr>
              <w:autoSpaceDE w:val="0"/>
              <w:autoSpaceDN w:val="0"/>
              <w:adjustRightInd w:val="0"/>
              <w:rPr>
                <w:rFonts w:ascii="Calibri" w:hAnsi="Calibri" w:cs="Calibri"/>
                <w:b/>
                <w:bCs/>
                <w:color w:val="000000"/>
                <w:lang w:eastAsia="lv-LV"/>
              </w:rPr>
            </w:pPr>
            <w:r w:rsidRPr="00920C23">
              <w:rPr>
                <w:rFonts w:ascii="Calibri" w:hAnsi="Calibri" w:cs="Calibri"/>
                <w:b/>
                <w:bCs/>
                <w:color w:val="000000"/>
                <w:lang w:eastAsia="lv-LV"/>
              </w:rPr>
              <w:t>ILGTERMIŅA SAISTĪBAS</w:t>
            </w:r>
          </w:p>
        </w:tc>
        <w:tc>
          <w:tcPr>
            <w:tcW w:w="2026" w:type="dxa"/>
            <w:tcBorders>
              <w:left w:val="nil"/>
              <w:bottom w:val="single" w:sz="12" w:space="0" w:color="auto"/>
            </w:tcBorders>
          </w:tcPr>
          <w:p w:rsidR="00BE24AD" w:rsidRPr="00920C23" w:rsidRDefault="00BE24AD">
            <w:pPr>
              <w:autoSpaceDE w:val="0"/>
              <w:autoSpaceDN w:val="0"/>
              <w:adjustRightInd w:val="0"/>
              <w:jc w:val="right"/>
              <w:rPr>
                <w:rFonts w:ascii="Calibri" w:hAnsi="Calibri" w:cs="Calibri"/>
                <w:color w:val="000000"/>
                <w:sz w:val="20"/>
                <w:szCs w:val="20"/>
                <w:lang w:eastAsia="lv-LV"/>
              </w:rPr>
            </w:pPr>
          </w:p>
          <w:p w:rsidR="002F57E2" w:rsidRPr="00920C23" w:rsidRDefault="002F57E2" w:rsidP="002F57E2">
            <w:pPr>
              <w:autoSpaceDE w:val="0"/>
              <w:autoSpaceDN w:val="0"/>
              <w:adjustRightInd w:val="0"/>
              <w:jc w:val="right"/>
              <w:rPr>
                <w:rFonts w:ascii="Calibri" w:hAnsi="Calibri" w:cs="Calibri"/>
                <w:color w:val="000000"/>
                <w:sz w:val="20"/>
                <w:szCs w:val="20"/>
                <w:lang w:eastAsia="lv-LV"/>
              </w:rPr>
            </w:pPr>
            <w:r w:rsidRPr="00920C23">
              <w:rPr>
                <w:rFonts w:ascii="Calibri" w:hAnsi="Calibri" w:cs="Calibri"/>
                <w:color w:val="000000"/>
                <w:sz w:val="20"/>
                <w:szCs w:val="20"/>
                <w:lang w:eastAsia="lv-LV"/>
              </w:rPr>
              <w:t>tabula Nr.6</w:t>
            </w:r>
          </w:p>
        </w:tc>
      </w:tr>
      <w:tr w:rsidR="00305E7E" w:rsidRPr="00920C23" w:rsidTr="00162BDE">
        <w:trPr>
          <w:trHeight w:val="319"/>
        </w:trPr>
        <w:tc>
          <w:tcPr>
            <w:tcW w:w="2787" w:type="dxa"/>
            <w:tcBorders>
              <w:top w:val="single" w:sz="12" w:space="0" w:color="auto"/>
              <w:left w:val="single" w:sz="12" w:space="0" w:color="auto"/>
              <w:bottom w:val="single" w:sz="12" w:space="0" w:color="auto"/>
              <w:right w:val="single" w:sz="6" w:space="0" w:color="auto"/>
            </w:tcBorders>
          </w:tcPr>
          <w:p w:rsidR="007B4D09" w:rsidRPr="00920C23" w:rsidRDefault="007B4D09">
            <w:pPr>
              <w:autoSpaceDE w:val="0"/>
              <w:autoSpaceDN w:val="0"/>
              <w:adjustRightInd w:val="0"/>
              <w:rPr>
                <w:rFonts w:ascii="Calibri" w:hAnsi="Calibri" w:cs="Calibri"/>
                <w:b/>
                <w:bCs/>
                <w:color w:val="000000"/>
                <w:lang w:eastAsia="lv-LV"/>
              </w:rPr>
            </w:pPr>
            <w:r w:rsidRPr="00920C23">
              <w:rPr>
                <w:rFonts w:ascii="Calibri" w:hAnsi="Calibri" w:cs="Calibri"/>
                <w:b/>
                <w:bCs/>
                <w:color w:val="000000"/>
                <w:lang w:eastAsia="lv-LV"/>
              </w:rPr>
              <w:t>Kredīta mērķis</w:t>
            </w:r>
          </w:p>
        </w:tc>
        <w:tc>
          <w:tcPr>
            <w:tcW w:w="2453" w:type="dxa"/>
            <w:tcBorders>
              <w:top w:val="single" w:sz="12" w:space="0" w:color="auto"/>
              <w:left w:val="single" w:sz="6" w:space="0" w:color="auto"/>
              <w:bottom w:val="single" w:sz="12" w:space="0" w:color="auto"/>
              <w:right w:val="single" w:sz="6" w:space="0" w:color="auto"/>
            </w:tcBorders>
          </w:tcPr>
          <w:p w:rsidR="007B4D09" w:rsidRPr="00920C23" w:rsidRDefault="007B4D09" w:rsidP="009A2A2A">
            <w:pPr>
              <w:autoSpaceDE w:val="0"/>
              <w:autoSpaceDN w:val="0"/>
              <w:adjustRightInd w:val="0"/>
              <w:rPr>
                <w:rFonts w:ascii="Calibri" w:hAnsi="Calibri" w:cs="Calibri"/>
                <w:b/>
                <w:bCs/>
                <w:color w:val="000000"/>
                <w:lang w:eastAsia="lv-LV"/>
              </w:rPr>
            </w:pPr>
            <w:r w:rsidRPr="00920C23">
              <w:rPr>
                <w:rFonts w:ascii="Calibri" w:hAnsi="Calibri" w:cs="Calibri"/>
                <w:b/>
                <w:bCs/>
                <w:color w:val="000000"/>
                <w:lang w:eastAsia="lv-LV"/>
              </w:rPr>
              <w:t xml:space="preserve">2017.g. </w:t>
            </w:r>
            <w:r w:rsidRPr="00920C23">
              <w:rPr>
                <w:rFonts w:ascii="Calibri" w:hAnsi="Calibri" w:cs="Calibri"/>
                <w:bCs/>
                <w:color w:val="000000"/>
                <w:sz w:val="22"/>
                <w:szCs w:val="22"/>
                <w:lang w:eastAsia="lv-LV"/>
              </w:rPr>
              <w:t>(uz 31.12.17.)</w:t>
            </w:r>
          </w:p>
        </w:tc>
        <w:tc>
          <w:tcPr>
            <w:tcW w:w="2285" w:type="dxa"/>
            <w:tcBorders>
              <w:top w:val="single" w:sz="12" w:space="0" w:color="auto"/>
              <w:left w:val="single" w:sz="6" w:space="0" w:color="auto"/>
              <w:bottom w:val="single" w:sz="12" w:space="0" w:color="auto"/>
              <w:right w:val="single" w:sz="6" w:space="0" w:color="auto"/>
            </w:tcBorders>
          </w:tcPr>
          <w:p w:rsidR="007B4D09" w:rsidRPr="00920C23" w:rsidRDefault="007B4D09" w:rsidP="009A2A2A">
            <w:pPr>
              <w:autoSpaceDE w:val="0"/>
              <w:autoSpaceDN w:val="0"/>
              <w:adjustRightInd w:val="0"/>
              <w:rPr>
                <w:rFonts w:ascii="Calibri" w:hAnsi="Calibri" w:cs="Calibri"/>
                <w:b/>
                <w:bCs/>
                <w:color w:val="000000"/>
                <w:lang w:eastAsia="lv-LV"/>
              </w:rPr>
            </w:pPr>
            <w:r w:rsidRPr="00920C23">
              <w:rPr>
                <w:rFonts w:ascii="Calibri" w:hAnsi="Calibri" w:cs="Calibri"/>
                <w:b/>
                <w:bCs/>
                <w:color w:val="000000"/>
                <w:lang w:eastAsia="lv-LV"/>
              </w:rPr>
              <w:t xml:space="preserve">2018.g. </w:t>
            </w:r>
            <w:r w:rsidRPr="00920C23">
              <w:rPr>
                <w:rFonts w:ascii="Calibri" w:hAnsi="Calibri" w:cs="Calibri"/>
                <w:bCs/>
                <w:color w:val="000000"/>
                <w:sz w:val="22"/>
                <w:szCs w:val="22"/>
                <w:lang w:eastAsia="lv-LV"/>
              </w:rPr>
              <w:t>(uz 31.12.18.)</w:t>
            </w:r>
          </w:p>
        </w:tc>
        <w:tc>
          <w:tcPr>
            <w:tcW w:w="2026" w:type="dxa"/>
            <w:tcBorders>
              <w:top w:val="single" w:sz="12" w:space="0" w:color="auto"/>
              <w:left w:val="single" w:sz="6" w:space="0" w:color="auto"/>
              <w:bottom w:val="single" w:sz="12" w:space="0" w:color="auto"/>
              <w:right w:val="single" w:sz="6" w:space="0" w:color="auto"/>
            </w:tcBorders>
          </w:tcPr>
          <w:p w:rsidR="007B4D09" w:rsidRPr="00920C23" w:rsidRDefault="007B4D09" w:rsidP="007B4D09">
            <w:pPr>
              <w:autoSpaceDE w:val="0"/>
              <w:autoSpaceDN w:val="0"/>
              <w:adjustRightInd w:val="0"/>
              <w:rPr>
                <w:rFonts w:ascii="Calibri" w:hAnsi="Calibri" w:cs="Calibri"/>
                <w:b/>
                <w:bCs/>
                <w:color w:val="000000"/>
                <w:lang w:eastAsia="lv-LV"/>
              </w:rPr>
            </w:pPr>
            <w:r w:rsidRPr="00920C23">
              <w:rPr>
                <w:rFonts w:ascii="Calibri" w:hAnsi="Calibri" w:cs="Calibri"/>
                <w:b/>
                <w:bCs/>
                <w:color w:val="000000"/>
                <w:lang w:eastAsia="lv-LV"/>
              </w:rPr>
              <w:t>201</w:t>
            </w:r>
            <w:r>
              <w:rPr>
                <w:rFonts w:ascii="Calibri" w:hAnsi="Calibri" w:cs="Calibri"/>
                <w:b/>
                <w:bCs/>
                <w:color w:val="000000"/>
                <w:lang w:eastAsia="lv-LV"/>
              </w:rPr>
              <w:t>9</w:t>
            </w:r>
            <w:r w:rsidRPr="00920C23">
              <w:rPr>
                <w:rFonts w:ascii="Calibri" w:hAnsi="Calibri" w:cs="Calibri"/>
                <w:b/>
                <w:bCs/>
                <w:color w:val="000000"/>
                <w:lang w:eastAsia="lv-LV"/>
              </w:rPr>
              <w:t xml:space="preserve">.g. </w:t>
            </w:r>
            <w:r w:rsidRPr="00920C23">
              <w:rPr>
                <w:rFonts w:ascii="Calibri" w:hAnsi="Calibri" w:cs="Calibri"/>
                <w:bCs/>
                <w:color w:val="000000"/>
                <w:sz w:val="22"/>
                <w:szCs w:val="22"/>
                <w:lang w:eastAsia="lv-LV"/>
              </w:rPr>
              <w:t>(uz 31.12.1</w:t>
            </w:r>
            <w:r>
              <w:rPr>
                <w:rFonts w:ascii="Calibri" w:hAnsi="Calibri" w:cs="Calibri"/>
                <w:bCs/>
                <w:color w:val="000000"/>
                <w:sz w:val="22"/>
                <w:szCs w:val="22"/>
                <w:lang w:eastAsia="lv-LV"/>
              </w:rPr>
              <w:t>9</w:t>
            </w:r>
            <w:r w:rsidRPr="00920C23">
              <w:rPr>
                <w:rFonts w:ascii="Calibri" w:hAnsi="Calibri" w:cs="Calibri"/>
                <w:bCs/>
                <w:color w:val="000000"/>
                <w:sz w:val="22"/>
                <w:szCs w:val="22"/>
                <w:lang w:eastAsia="lv-LV"/>
              </w:rPr>
              <w:t>.)</w:t>
            </w:r>
          </w:p>
        </w:tc>
      </w:tr>
      <w:tr w:rsidR="00305E7E" w:rsidRPr="00920C23" w:rsidTr="00162BDE">
        <w:trPr>
          <w:trHeight w:val="305"/>
        </w:trPr>
        <w:tc>
          <w:tcPr>
            <w:tcW w:w="2787" w:type="dxa"/>
            <w:tcBorders>
              <w:top w:val="nil"/>
              <w:left w:val="single" w:sz="6" w:space="0" w:color="auto"/>
              <w:bottom w:val="single" w:sz="6" w:space="0" w:color="auto"/>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sidRPr="00920C23">
              <w:rPr>
                <w:rFonts w:ascii="Calibri" w:hAnsi="Calibri" w:cs="Calibri"/>
                <w:color w:val="000000"/>
                <w:lang w:eastAsia="lv-LV"/>
              </w:rPr>
              <w:t>,,LIEPAS"</w:t>
            </w:r>
          </w:p>
        </w:tc>
        <w:tc>
          <w:tcPr>
            <w:tcW w:w="2453" w:type="dxa"/>
            <w:tcBorders>
              <w:top w:val="nil"/>
              <w:left w:val="single" w:sz="6" w:space="0" w:color="auto"/>
              <w:bottom w:val="single" w:sz="6" w:space="0" w:color="auto"/>
              <w:right w:val="single" w:sz="6" w:space="0" w:color="auto"/>
            </w:tcBorders>
          </w:tcPr>
          <w:p w:rsidR="007B4D09" w:rsidRPr="00920C23" w:rsidRDefault="007B4D09" w:rsidP="00222948">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110 27</w:t>
            </w:r>
            <w:r w:rsidR="00222948">
              <w:rPr>
                <w:rFonts w:ascii="Calibri" w:hAnsi="Calibri" w:cs="Calibri"/>
                <w:color w:val="000000"/>
                <w:lang w:eastAsia="lv-LV"/>
              </w:rPr>
              <w:t>8</w:t>
            </w:r>
          </w:p>
        </w:tc>
        <w:tc>
          <w:tcPr>
            <w:tcW w:w="2285" w:type="dxa"/>
            <w:tcBorders>
              <w:top w:val="nil"/>
              <w:left w:val="single" w:sz="6" w:space="0" w:color="auto"/>
              <w:bottom w:val="single" w:sz="6" w:space="0" w:color="auto"/>
              <w:right w:val="single" w:sz="6" w:space="0" w:color="auto"/>
            </w:tcBorders>
          </w:tcPr>
          <w:p w:rsidR="007B4D09" w:rsidRPr="00920C23" w:rsidRDefault="007B4D09" w:rsidP="00222948">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99 482</w:t>
            </w:r>
          </w:p>
        </w:tc>
        <w:tc>
          <w:tcPr>
            <w:tcW w:w="2026" w:type="dxa"/>
            <w:tcBorders>
              <w:top w:val="nil"/>
              <w:left w:val="single" w:sz="6" w:space="0" w:color="auto"/>
              <w:bottom w:val="single" w:sz="6" w:space="0" w:color="auto"/>
              <w:right w:val="single" w:sz="6" w:space="0" w:color="auto"/>
            </w:tcBorders>
          </w:tcPr>
          <w:p w:rsidR="007B4D09" w:rsidRPr="00920C23" w:rsidRDefault="00036374" w:rsidP="00036374">
            <w:pPr>
              <w:autoSpaceDE w:val="0"/>
              <w:autoSpaceDN w:val="0"/>
              <w:adjustRightInd w:val="0"/>
              <w:jc w:val="right"/>
              <w:rPr>
                <w:rFonts w:ascii="Calibri" w:hAnsi="Calibri" w:cs="Calibri"/>
                <w:color w:val="000000"/>
                <w:lang w:eastAsia="lv-LV"/>
              </w:rPr>
            </w:pPr>
            <w:r>
              <w:rPr>
                <w:rFonts w:ascii="Calibri" w:hAnsi="Calibri" w:cs="Calibri"/>
                <w:color w:val="000000"/>
                <w:lang w:eastAsia="lv-LV"/>
              </w:rPr>
              <w:t>88 686</w:t>
            </w:r>
          </w:p>
        </w:tc>
      </w:tr>
      <w:tr w:rsidR="00305E7E" w:rsidRPr="00920C23" w:rsidTr="00162BDE">
        <w:trPr>
          <w:trHeight w:val="305"/>
        </w:trPr>
        <w:tc>
          <w:tcPr>
            <w:tcW w:w="2787" w:type="dxa"/>
            <w:tcBorders>
              <w:top w:val="single" w:sz="6" w:space="0" w:color="auto"/>
              <w:left w:val="single" w:sz="6" w:space="0" w:color="auto"/>
              <w:bottom w:val="single" w:sz="6" w:space="0" w:color="auto"/>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sidRPr="00920C23">
              <w:rPr>
                <w:rFonts w:ascii="Calibri" w:hAnsi="Calibri" w:cs="Calibri"/>
                <w:color w:val="000000"/>
                <w:lang w:eastAsia="lv-LV"/>
              </w:rPr>
              <w:t>Indrānu iela 3, Koknese</w:t>
            </w:r>
          </w:p>
        </w:tc>
        <w:tc>
          <w:tcPr>
            <w:tcW w:w="2453" w:type="dxa"/>
            <w:tcBorders>
              <w:top w:val="single" w:sz="6" w:space="0" w:color="auto"/>
              <w:left w:val="single" w:sz="6" w:space="0" w:color="auto"/>
              <w:bottom w:val="single" w:sz="6" w:space="0" w:color="auto"/>
              <w:right w:val="single" w:sz="6" w:space="0" w:color="auto"/>
            </w:tcBorders>
          </w:tcPr>
          <w:p w:rsidR="007B4D09" w:rsidRPr="00920C23" w:rsidRDefault="007B4D09" w:rsidP="00222948">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54 21</w:t>
            </w:r>
            <w:r w:rsidR="00222948">
              <w:rPr>
                <w:rFonts w:ascii="Calibri" w:hAnsi="Calibri" w:cs="Calibri"/>
                <w:color w:val="000000"/>
                <w:lang w:eastAsia="lv-LV"/>
              </w:rPr>
              <w:t>1</w:t>
            </w:r>
          </w:p>
        </w:tc>
        <w:tc>
          <w:tcPr>
            <w:tcW w:w="2285" w:type="dxa"/>
            <w:tcBorders>
              <w:top w:val="single" w:sz="6" w:space="0" w:color="auto"/>
              <w:left w:val="single" w:sz="6" w:space="0" w:color="auto"/>
              <w:bottom w:val="single" w:sz="6" w:space="0" w:color="auto"/>
              <w:right w:val="single" w:sz="6" w:space="0" w:color="auto"/>
            </w:tcBorders>
          </w:tcPr>
          <w:p w:rsidR="007B4D09" w:rsidRPr="00920C23" w:rsidRDefault="007B4D09" w:rsidP="00222948">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48 219</w:t>
            </w:r>
          </w:p>
        </w:tc>
        <w:tc>
          <w:tcPr>
            <w:tcW w:w="2026" w:type="dxa"/>
            <w:tcBorders>
              <w:top w:val="single" w:sz="6" w:space="0" w:color="auto"/>
              <w:left w:val="single" w:sz="6" w:space="0" w:color="auto"/>
              <w:bottom w:val="single" w:sz="6" w:space="0" w:color="auto"/>
              <w:right w:val="single" w:sz="6" w:space="0" w:color="auto"/>
            </w:tcBorders>
          </w:tcPr>
          <w:p w:rsidR="007B4D09" w:rsidRPr="00920C23" w:rsidRDefault="007B4D09" w:rsidP="00036374">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4</w:t>
            </w:r>
            <w:r w:rsidR="009A2A2A">
              <w:rPr>
                <w:rFonts w:ascii="Calibri" w:hAnsi="Calibri" w:cs="Calibri"/>
                <w:color w:val="000000"/>
                <w:lang w:eastAsia="lv-LV"/>
              </w:rPr>
              <w:t>2 22</w:t>
            </w:r>
            <w:r w:rsidR="00036374">
              <w:rPr>
                <w:rFonts w:ascii="Calibri" w:hAnsi="Calibri" w:cs="Calibri"/>
                <w:color w:val="000000"/>
                <w:lang w:eastAsia="lv-LV"/>
              </w:rPr>
              <w:t>8</w:t>
            </w:r>
          </w:p>
        </w:tc>
      </w:tr>
      <w:tr w:rsidR="00305E7E" w:rsidRPr="00920C23" w:rsidTr="00162BDE">
        <w:trPr>
          <w:trHeight w:val="305"/>
        </w:trPr>
        <w:tc>
          <w:tcPr>
            <w:tcW w:w="2787" w:type="dxa"/>
            <w:tcBorders>
              <w:top w:val="single" w:sz="6" w:space="0" w:color="auto"/>
              <w:left w:val="single" w:sz="6" w:space="0" w:color="auto"/>
              <w:bottom w:val="single" w:sz="6" w:space="0" w:color="auto"/>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sidRPr="00920C23">
              <w:rPr>
                <w:rFonts w:ascii="Calibri" w:hAnsi="Calibri" w:cs="Calibri"/>
                <w:color w:val="000000"/>
                <w:lang w:eastAsia="lv-LV"/>
              </w:rPr>
              <w:t>Indrānu iela 7, Koknese</w:t>
            </w:r>
          </w:p>
        </w:tc>
        <w:tc>
          <w:tcPr>
            <w:tcW w:w="2453" w:type="dxa"/>
            <w:tcBorders>
              <w:top w:val="single" w:sz="6" w:space="0" w:color="auto"/>
              <w:left w:val="single" w:sz="6" w:space="0" w:color="auto"/>
              <w:bottom w:val="single" w:sz="6" w:space="0" w:color="auto"/>
              <w:right w:val="single" w:sz="6" w:space="0" w:color="auto"/>
            </w:tcBorders>
          </w:tcPr>
          <w:p w:rsidR="007B4D09" w:rsidRPr="00920C23" w:rsidRDefault="007B4D09" w:rsidP="00222948">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118 328</w:t>
            </w:r>
          </w:p>
        </w:tc>
        <w:tc>
          <w:tcPr>
            <w:tcW w:w="2285" w:type="dxa"/>
            <w:tcBorders>
              <w:top w:val="single" w:sz="6" w:space="0" w:color="auto"/>
              <w:left w:val="single" w:sz="6" w:space="0" w:color="auto"/>
              <w:bottom w:val="single" w:sz="6" w:space="0" w:color="auto"/>
              <w:right w:val="single" w:sz="6" w:space="0" w:color="auto"/>
            </w:tcBorders>
          </w:tcPr>
          <w:p w:rsidR="007B4D09" w:rsidRPr="00920C23" w:rsidRDefault="007B4D09" w:rsidP="00222948">
            <w:pPr>
              <w:autoSpaceDE w:val="0"/>
              <w:autoSpaceDN w:val="0"/>
              <w:adjustRightInd w:val="0"/>
              <w:jc w:val="right"/>
              <w:rPr>
                <w:rFonts w:ascii="Calibri" w:hAnsi="Calibri" w:cs="Calibri"/>
                <w:color w:val="000000"/>
                <w:lang w:eastAsia="lv-LV"/>
              </w:rPr>
            </w:pPr>
            <w:r w:rsidRPr="00920C23">
              <w:rPr>
                <w:rFonts w:ascii="Calibri" w:hAnsi="Calibri" w:cs="Calibri"/>
                <w:color w:val="000000"/>
                <w:lang w:eastAsia="lv-LV"/>
              </w:rPr>
              <w:t>105 75</w:t>
            </w:r>
            <w:r w:rsidR="00222948">
              <w:rPr>
                <w:rFonts w:ascii="Calibri" w:hAnsi="Calibri" w:cs="Calibri"/>
                <w:color w:val="000000"/>
                <w:lang w:eastAsia="lv-LV"/>
              </w:rPr>
              <w:t>1</w:t>
            </w:r>
          </w:p>
        </w:tc>
        <w:tc>
          <w:tcPr>
            <w:tcW w:w="2026" w:type="dxa"/>
            <w:tcBorders>
              <w:top w:val="single" w:sz="6" w:space="0" w:color="auto"/>
              <w:left w:val="single" w:sz="6" w:space="0" w:color="auto"/>
              <w:bottom w:val="single" w:sz="6" w:space="0" w:color="auto"/>
              <w:right w:val="single" w:sz="6" w:space="0" w:color="auto"/>
            </w:tcBorders>
          </w:tcPr>
          <w:p w:rsidR="007B4D09" w:rsidRPr="00920C23" w:rsidRDefault="009A2A2A" w:rsidP="00036374">
            <w:pPr>
              <w:autoSpaceDE w:val="0"/>
              <w:autoSpaceDN w:val="0"/>
              <w:adjustRightInd w:val="0"/>
              <w:jc w:val="right"/>
              <w:rPr>
                <w:rFonts w:ascii="Calibri" w:hAnsi="Calibri" w:cs="Calibri"/>
                <w:color w:val="000000"/>
                <w:lang w:eastAsia="lv-LV"/>
              </w:rPr>
            </w:pPr>
            <w:r>
              <w:rPr>
                <w:rFonts w:ascii="Calibri" w:hAnsi="Calibri" w:cs="Calibri"/>
                <w:color w:val="000000"/>
                <w:lang w:eastAsia="lv-LV"/>
              </w:rPr>
              <w:t>93 173</w:t>
            </w:r>
          </w:p>
        </w:tc>
      </w:tr>
      <w:tr w:rsidR="00305E7E" w:rsidRPr="00920C23" w:rsidTr="00162BDE">
        <w:trPr>
          <w:trHeight w:val="319"/>
        </w:trPr>
        <w:tc>
          <w:tcPr>
            <w:tcW w:w="2787" w:type="dxa"/>
            <w:tcBorders>
              <w:top w:val="single" w:sz="6" w:space="0" w:color="auto"/>
              <w:left w:val="single" w:sz="6" w:space="0" w:color="auto"/>
              <w:bottom w:val="nil"/>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sidRPr="00920C23">
              <w:rPr>
                <w:rFonts w:ascii="Calibri" w:hAnsi="Calibri" w:cs="Calibri"/>
                <w:color w:val="000000"/>
                <w:lang w:eastAsia="lv-LV"/>
              </w:rPr>
              <w:t>VALSTS KASE</w:t>
            </w:r>
          </w:p>
        </w:tc>
        <w:tc>
          <w:tcPr>
            <w:tcW w:w="2453" w:type="dxa"/>
            <w:tcBorders>
              <w:top w:val="single" w:sz="6" w:space="0" w:color="auto"/>
              <w:left w:val="single" w:sz="6" w:space="0" w:color="auto"/>
              <w:bottom w:val="nil"/>
              <w:right w:val="single" w:sz="6" w:space="0" w:color="auto"/>
            </w:tcBorders>
          </w:tcPr>
          <w:p w:rsidR="007B4D09" w:rsidRPr="00920C23" w:rsidRDefault="007B4D09" w:rsidP="00222948">
            <w:pPr>
              <w:autoSpaceDE w:val="0"/>
              <w:autoSpaceDN w:val="0"/>
              <w:adjustRightInd w:val="0"/>
              <w:jc w:val="right"/>
              <w:rPr>
                <w:rFonts w:ascii="Calibri" w:hAnsi="Calibri" w:cs="Calibri"/>
                <w:color w:val="000000"/>
                <w:lang w:eastAsia="lv-LV"/>
              </w:rPr>
            </w:pPr>
            <w:r>
              <w:rPr>
                <w:rFonts w:ascii="Calibri" w:hAnsi="Calibri" w:cs="Calibri"/>
                <w:color w:val="000000"/>
                <w:lang w:eastAsia="lv-LV"/>
              </w:rPr>
              <w:t>476 811</w:t>
            </w:r>
          </w:p>
        </w:tc>
        <w:tc>
          <w:tcPr>
            <w:tcW w:w="2285" w:type="dxa"/>
            <w:tcBorders>
              <w:top w:val="single" w:sz="6" w:space="0" w:color="auto"/>
              <w:left w:val="single" w:sz="6" w:space="0" w:color="auto"/>
              <w:bottom w:val="nil"/>
              <w:right w:val="single" w:sz="6" w:space="0" w:color="auto"/>
            </w:tcBorders>
          </w:tcPr>
          <w:p w:rsidR="007B4D09" w:rsidRPr="00920C23" w:rsidRDefault="007B4D09" w:rsidP="00222948">
            <w:pPr>
              <w:autoSpaceDE w:val="0"/>
              <w:autoSpaceDN w:val="0"/>
              <w:adjustRightInd w:val="0"/>
              <w:jc w:val="right"/>
              <w:rPr>
                <w:rFonts w:ascii="Calibri" w:hAnsi="Calibri" w:cs="Calibri"/>
                <w:color w:val="000000"/>
                <w:lang w:eastAsia="lv-LV"/>
              </w:rPr>
            </w:pPr>
            <w:r>
              <w:rPr>
                <w:rFonts w:ascii="Calibri" w:hAnsi="Calibri" w:cs="Calibri"/>
                <w:color w:val="000000"/>
                <w:lang w:eastAsia="lv-LV"/>
              </w:rPr>
              <w:t>42</w:t>
            </w:r>
            <w:r w:rsidRPr="00920C23">
              <w:rPr>
                <w:rFonts w:ascii="Calibri" w:hAnsi="Calibri" w:cs="Calibri"/>
                <w:color w:val="000000"/>
                <w:lang w:eastAsia="lv-LV"/>
              </w:rPr>
              <w:t>7</w:t>
            </w:r>
            <w:r>
              <w:rPr>
                <w:rFonts w:ascii="Calibri" w:hAnsi="Calibri" w:cs="Calibri"/>
                <w:color w:val="000000"/>
                <w:lang w:eastAsia="lv-LV"/>
              </w:rPr>
              <w:t> 303</w:t>
            </w:r>
          </w:p>
        </w:tc>
        <w:tc>
          <w:tcPr>
            <w:tcW w:w="2026" w:type="dxa"/>
            <w:tcBorders>
              <w:top w:val="single" w:sz="6" w:space="0" w:color="auto"/>
              <w:left w:val="single" w:sz="6" w:space="0" w:color="auto"/>
              <w:bottom w:val="nil"/>
              <w:right w:val="single" w:sz="6" w:space="0" w:color="auto"/>
            </w:tcBorders>
          </w:tcPr>
          <w:p w:rsidR="009D733B" w:rsidRPr="00920C23" w:rsidRDefault="009D733B" w:rsidP="009D733B">
            <w:pPr>
              <w:autoSpaceDE w:val="0"/>
              <w:autoSpaceDN w:val="0"/>
              <w:adjustRightInd w:val="0"/>
              <w:jc w:val="right"/>
              <w:rPr>
                <w:rFonts w:ascii="Calibri" w:hAnsi="Calibri" w:cs="Calibri"/>
                <w:color w:val="000000"/>
                <w:lang w:eastAsia="lv-LV"/>
              </w:rPr>
            </w:pPr>
            <w:r>
              <w:rPr>
                <w:rFonts w:ascii="Calibri" w:hAnsi="Calibri" w:cs="Calibri"/>
                <w:color w:val="000000"/>
                <w:lang w:eastAsia="lv-LV"/>
              </w:rPr>
              <w:t>377 795</w:t>
            </w:r>
          </w:p>
        </w:tc>
      </w:tr>
      <w:tr w:rsidR="00305E7E" w:rsidRPr="00920C23" w:rsidTr="00162BDE">
        <w:trPr>
          <w:trHeight w:val="319"/>
        </w:trPr>
        <w:tc>
          <w:tcPr>
            <w:tcW w:w="2787" w:type="dxa"/>
            <w:tcBorders>
              <w:top w:val="single" w:sz="6" w:space="0" w:color="auto"/>
              <w:left w:val="single" w:sz="6" w:space="0" w:color="auto"/>
              <w:bottom w:val="nil"/>
              <w:right w:val="single" w:sz="6" w:space="0" w:color="auto"/>
            </w:tcBorders>
          </w:tcPr>
          <w:p w:rsidR="007B4D09" w:rsidRPr="00920C23" w:rsidRDefault="007B4D09">
            <w:pPr>
              <w:autoSpaceDE w:val="0"/>
              <w:autoSpaceDN w:val="0"/>
              <w:adjustRightInd w:val="0"/>
              <w:rPr>
                <w:rFonts w:ascii="Calibri" w:hAnsi="Calibri" w:cs="Calibri"/>
                <w:color w:val="000000"/>
                <w:lang w:eastAsia="lv-LV"/>
              </w:rPr>
            </w:pPr>
            <w:r>
              <w:rPr>
                <w:rFonts w:ascii="Calibri" w:hAnsi="Calibri" w:cs="Calibri"/>
                <w:color w:val="000000"/>
                <w:lang w:eastAsia="lv-LV"/>
              </w:rPr>
              <w:t>Pārējo māju renovācija</w:t>
            </w:r>
          </w:p>
        </w:tc>
        <w:tc>
          <w:tcPr>
            <w:tcW w:w="2453" w:type="dxa"/>
            <w:tcBorders>
              <w:top w:val="single" w:sz="6" w:space="0" w:color="auto"/>
              <w:left w:val="single" w:sz="6" w:space="0" w:color="auto"/>
              <w:bottom w:val="nil"/>
              <w:right w:val="single" w:sz="6" w:space="0" w:color="auto"/>
            </w:tcBorders>
          </w:tcPr>
          <w:p w:rsidR="007B4D09" w:rsidRDefault="00E37142" w:rsidP="008A0BCA">
            <w:pPr>
              <w:autoSpaceDE w:val="0"/>
              <w:autoSpaceDN w:val="0"/>
              <w:adjustRightInd w:val="0"/>
              <w:jc w:val="right"/>
              <w:rPr>
                <w:rFonts w:ascii="Calibri" w:hAnsi="Calibri" w:cs="Calibri"/>
                <w:color w:val="000000"/>
                <w:lang w:eastAsia="lv-LV"/>
              </w:rPr>
            </w:pPr>
            <w:r>
              <w:rPr>
                <w:rFonts w:ascii="Calibri" w:hAnsi="Calibri" w:cs="Calibri"/>
                <w:color w:val="000000"/>
                <w:lang w:eastAsia="lv-LV"/>
              </w:rPr>
              <w:t>50 000</w:t>
            </w:r>
          </w:p>
        </w:tc>
        <w:tc>
          <w:tcPr>
            <w:tcW w:w="2285" w:type="dxa"/>
            <w:tcBorders>
              <w:top w:val="single" w:sz="6" w:space="0" w:color="auto"/>
              <w:left w:val="single" w:sz="6" w:space="0" w:color="auto"/>
              <w:bottom w:val="nil"/>
              <w:right w:val="single" w:sz="6" w:space="0" w:color="auto"/>
            </w:tcBorders>
          </w:tcPr>
          <w:p w:rsidR="007B4D09" w:rsidRPr="00920C23" w:rsidRDefault="00963590" w:rsidP="00963590">
            <w:pPr>
              <w:autoSpaceDE w:val="0"/>
              <w:autoSpaceDN w:val="0"/>
              <w:adjustRightInd w:val="0"/>
              <w:jc w:val="right"/>
              <w:rPr>
                <w:rFonts w:ascii="Calibri" w:hAnsi="Calibri" w:cs="Calibri"/>
                <w:color w:val="000000"/>
                <w:lang w:eastAsia="lv-LV"/>
              </w:rPr>
            </w:pPr>
            <w:r>
              <w:rPr>
                <w:rFonts w:ascii="Calibri" w:hAnsi="Calibri" w:cs="Calibri"/>
                <w:color w:val="000000"/>
                <w:lang w:eastAsia="lv-LV"/>
              </w:rPr>
              <w:t>3</w:t>
            </w:r>
            <w:r w:rsidR="00E37142">
              <w:rPr>
                <w:rFonts w:ascii="Calibri" w:hAnsi="Calibri" w:cs="Calibri"/>
                <w:color w:val="000000"/>
                <w:lang w:eastAsia="lv-LV"/>
              </w:rPr>
              <w:t>0</w:t>
            </w:r>
            <w:r w:rsidR="007B4D09">
              <w:rPr>
                <w:rFonts w:ascii="Calibri" w:hAnsi="Calibri" w:cs="Calibri"/>
                <w:color w:val="000000"/>
                <w:lang w:eastAsia="lv-LV"/>
              </w:rPr>
              <w:t>0 000</w:t>
            </w:r>
          </w:p>
        </w:tc>
        <w:tc>
          <w:tcPr>
            <w:tcW w:w="2026" w:type="dxa"/>
            <w:tcBorders>
              <w:top w:val="single" w:sz="6" w:space="0" w:color="auto"/>
              <w:left w:val="single" w:sz="6" w:space="0" w:color="auto"/>
              <w:bottom w:val="nil"/>
              <w:right w:val="single" w:sz="6" w:space="0" w:color="auto"/>
            </w:tcBorders>
          </w:tcPr>
          <w:p w:rsidR="007B4D09" w:rsidRPr="00920C23" w:rsidRDefault="00963590" w:rsidP="00963590">
            <w:pPr>
              <w:autoSpaceDE w:val="0"/>
              <w:autoSpaceDN w:val="0"/>
              <w:adjustRightInd w:val="0"/>
              <w:jc w:val="right"/>
              <w:rPr>
                <w:rFonts w:ascii="Calibri" w:hAnsi="Calibri" w:cs="Calibri"/>
                <w:color w:val="000000"/>
                <w:lang w:eastAsia="lv-LV"/>
              </w:rPr>
            </w:pPr>
            <w:r>
              <w:rPr>
                <w:rFonts w:ascii="Calibri" w:hAnsi="Calibri" w:cs="Calibri"/>
                <w:color w:val="000000"/>
                <w:lang w:eastAsia="lv-LV"/>
              </w:rPr>
              <w:t>27</w:t>
            </w:r>
            <w:r w:rsidR="009D733B">
              <w:rPr>
                <w:rFonts w:ascii="Calibri" w:hAnsi="Calibri" w:cs="Calibri"/>
                <w:color w:val="000000"/>
                <w:lang w:eastAsia="lv-LV"/>
              </w:rPr>
              <w:t>0</w:t>
            </w:r>
            <w:r w:rsidR="00736147">
              <w:rPr>
                <w:rFonts w:ascii="Calibri" w:hAnsi="Calibri" w:cs="Calibri"/>
                <w:color w:val="000000"/>
                <w:lang w:eastAsia="lv-LV"/>
              </w:rPr>
              <w:t xml:space="preserve"> 000</w:t>
            </w:r>
          </w:p>
        </w:tc>
      </w:tr>
      <w:tr w:rsidR="00305E7E" w:rsidRPr="00920C23" w:rsidTr="00162BDE">
        <w:trPr>
          <w:trHeight w:val="319"/>
        </w:trPr>
        <w:tc>
          <w:tcPr>
            <w:tcW w:w="2787" w:type="dxa"/>
            <w:tcBorders>
              <w:top w:val="single" w:sz="12" w:space="0" w:color="auto"/>
              <w:left w:val="single" w:sz="12" w:space="0" w:color="auto"/>
              <w:bottom w:val="single" w:sz="12" w:space="0" w:color="auto"/>
              <w:right w:val="single" w:sz="6" w:space="0" w:color="auto"/>
            </w:tcBorders>
          </w:tcPr>
          <w:p w:rsidR="007B4D09" w:rsidRPr="00920C23" w:rsidRDefault="007B4D09" w:rsidP="00F03EC2">
            <w:pPr>
              <w:autoSpaceDE w:val="0"/>
              <w:autoSpaceDN w:val="0"/>
              <w:adjustRightInd w:val="0"/>
              <w:jc w:val="center"/>
              <w:rPr>
                <w:rFonts w:ascii="Calibri" w:hAnsi="Calibri" w:cs="Calibri"/>
                <w:b/>
                <w:bCs/>
                <w:color w:val="000000"/>
                <w:lang w:eastAsia="lv-LV"/>
              </w:rPr>
            </w:pPr>
            <w:r w:rsidRPr="00920C23">
              <w:rPr>
                <w:rFonts w:ascii="Calibri" w:hAnsi="Calibri" w:cs="Calibri"/>
                <w:b/>
                <w:bCs/>
                <w:color w:val="000000"/>
                <w:lang w:eastAsia="lv-LV"/>
              </w:rPr>
              <w:t xml:space="preserve">KOPĀ </w:t>
            </w:r>
          </w:p>
        </w:tc>
        <w:tc>
          <w:tcPr>
            <w:tcW w:w="2453" w:type="dxa"/>
            <w:tcBorders>
              <w:top w:val="single" w:sz="12" w:space="0" w:color="auto"/>
              <w:left w:val="single" w:sz="6" w:space="0" w:color="auto"/>
              <w:bottom w:val="single" w:sz="12" w:space="0" w:color="auto"/>
              <w:right w:val="single" w:sz="6" w:space="0" w:color="auto"/>
            </w:tcBorders>
          </w:tcPr>
          <w:p w:rsidR="007B4D09" w:rsidRPr="00920C23" w:rsidRDefault="00F364B5" w:rsidP="008A0BCA">
            <w:pPr>
              <w:autoSpaceDE w:val="0"/>
              <w:autoSpaceDN w:val="0"/>
              <w:adjustRightInd w:val="0"/>
              <w:jc w:val="right"/>
              <w:rPr>
                <w:rFonts w:ascii="Calibri" w:hAnsi="Calibri" w:cs="Calibri"/>
                <w:b/>
                <w:bCs/>
                <w:color w:val="000000"/>
                <w:lang w:eastAsia="lv-LV"/>
              </w:rPr>
            </w:pPr>
            <w:r>
              <w:rPr>
                <w:rFonts w:ascii="Calibri" w:hAnsi="Calibri" w:cs="Calibri"/>
                <w:b/>
                <w:bCs/>
                <w:color w:val="000000"/>
                <w:lang w:eastAsia="lv-LV"/>
              </w:rPr>
              <w:t>809 628</w:t>
            </w:r>
          </w:p>
        </w:tc>
        <w:tc>
          <w:tcPr>
            <w:tcW w:w="2285" w:type="dxa"/>
            <w:tcBorders>
              <w:top w:val="single" w:sz="12" w:space="0" w:color="auto"/>
              <w:left w:val="single" w:sz="6" w:space="0" w:color="auto"/>
              <w:bottom w:val="single" w:sz="12" w:space="0" w:color="auto"/>
              <w:right w:val="single" w:sz="6" w:space="0" w:color="auto"/>
            </w:tcBorders>
          </w:tcPr>
          <w:p w:rsidR="007B4D09" w:rsidRPr="00920C23" w:rsidRDefault="00963590" w:rsidP="00F364B5">
            <w:pPr>
              <w:autoSpaceDE w:val="0"/>
              <w:autoSpaceDN w:val="0"/>
              <w:adjustRightInd w:val="0"/>
              <w:jc w:val="right"/>
              <w:rPr>
                <w:rFonts w:ascii="Calibri" w:hAnsi="Calibri" w:cs="Calibri"/>
                <w:b/>
                <w:bCs/>
                <w:color w:val="000000"/>
                <w:lang w:eastAsia="lv-LV"/>
              </w:rPr>
            </w:pPr>
            <w:r>
              <w:rPr>
                <w:rFonts w:ascii="Calibri" w:hAnsi="Calibri" w:cs="Calibri"/>
                <w:b/>
                <w:bCs/>
                <w:color w:val="000000"/>
                <w:lang w:eastAsia="lv-LV"/>
              </w:rPr>
              <w:t>9</w:t>
            </w:r>
            <w:r w:rsidR="00F364B5">
              <w:rPr>
                <w:rFonts w:ascii="Calibri" w:hAnsi="Calibri" w:cs="Calibri"/>
                <w:b/>
                <w:bCs/>
                <w:color w:val="000000"/>
                <w:lang w:eastAsia="lv-LV"/>
              </w:rPr>
              <w:t>80 755</w:t>
            </w:r>
          </w:p>
        </w:tc>
        <w:tc>
          <w:tcPr>
            <w:tcW w:w="2026" w:type="dxa"/>
            <w:tcBorders>
              <w:top w:val="single" w:sz="12" w:space="0" w:color="auto"/>
              <w:left w:val="single" w:sz="6" w:space="0" w:color="auto"/>
              <w:bottom w:val="single" w:sz="12" w:space="0" w:color="auto"/>
              <w:right w:val="single" w:sz="6" w:space="0" w:color="auto"/>
            </w:tcBorders>
          </w:tcPr>
          <w:p w:rsidR="007B4D09" w:rsidRPr="00963590" w:rsidRDefault="00963590" w:rsidP="00963590">
            <w:pPr>
              <w:pStyle w:val="Sarakstarindkopa"/>
              <w:autoSpaceDE w:val="0"/>
              <w:autoSpaceDN w:val="0"/>
              <w:adjustRightInd w:val="0"/>
              <w:jc w:val="center"/>
              <w:rPr>
                <w:rFonts w:cs="Calibri"/>
                <w:b/>
                <w:bCs/>
                <w:color w:val="000000"/>
                <w:sz w:val="24"/>
                <w:szCs w:val="24"/>
                <w:lang w:eastAsia="lv-LV"/>
              </w:rPr>
            </w:pPr>
            <w:r w:rsidRPr="00963590">
              <w:rPr>
                <w:rFonts w:cs="Calibri"/>
                <w:b/>
                <w:bCs/>
                <w:color w:val="000000"/>
                <w:sz w:val="24"/>
                <w:szCs w:val="24"/>
                <w:lang w:eastAsia="lv-LV"/>
              </w:rPr>
              <w:t>871 882.00</w:t>
            </w:r>
          </w:p>
        </w:tc>
      </w:tr>
    </w:tbl>
    <w:p w:rsidR="00907F73" w:rsidRDefault="00907F73" w:rsidP="00907F73">
      <w:pPr>
        <w:pStyle w:val="Virsraksts1"/>
        <w:numPr>
          <w:ilvl w:val="0"/>
          <w:numId w:val="0"/>
        </w:numPr>
        <w:jc w:val="left"/>
      </w:pPr>
    </w:p>
    <w:p w:rsidR="00C12F90" w:rsidRDefault="00C12F90">
      <w:r>
        <w:br w:type="page"/>
      </w:r>
    </w:p>
    <w:p w:rsidR="00464C2B" w:rsidRDefault="00464C2B" w:rsidP="00464C2B"/>
    <w:p w:rsidR="0029428B" w:rsidRPr="00464C2B" w:rsidRDefault="006F69C9" w:rsidP="00464C2B">
      <w:pPr>
        <w:pStyle w:val="Virsraksts1"/>
      </w:pPr>
      <w:bookmarkStart w:id="17" w:name="_Toc498420729"/>
      <w:r w:rsidRPr="00907F73">
        <w:t xml:space="preserve">PLĀNOTIE </w:t>
      </w:r>
      <w:r w:rsidR="00A83336" w:rsidRPr="00907F73">
        <w:t>NODOKĻI</w:t>
      </w:r>
      <w:r w:rsidR="00EB7780" w:rsidRPr="00907F73">
        <w:t>, NODEVAS</w:t>
      </w:r>
      <w:r w:rsidR="00370406" w:rsidRPr="00907F73">
        <w:t xml:space="preserve"> </w:t>
      </w:r>
      <w:r w:rsidR="00A83336" w:rsidRPr="00907F73">
        <w:t>UN VALSTS SOCIĀLO APDROŠINĀŠANAS OBLIGĀTO IEMAKSU MAKSĀJUMI</w:t>
      </w:r>
      <w:r w:rsidR="00460AEC" w:rsidRPr="00907F73">
        <w:t xml:space="preserve">  </w:t>
      </w:r>
      <w:r w:rsidR="00370406" w:rsidRPr="00907F73">
        <w:t>201</w:t>
      </w:r>
      <w:r w:rsidR="00C22DE3" w:rsidRPr="00907F73">
        <w:t>7. – 2019</w:t>
      </w:r>
      <w:r w:rsidR="00370406" w:rsidRPr="00907F73">
        <w:t>.gadā</w:t>
      </w:r>
      <w:bookmarkEnd w:id="17"/>
    </w:p>
    <w:p w:rsidR="0029428B" w:rsidRDefault="0029428B" w:rsidP="00370406">
      <w:pPr>
        <w:pStyle w:val="Paraststmeklis"/>
        <w:ind w:left="1440" w:right="71"/>
        <w:jc w:val="right"/>
        <w:rPr>
          <w:rFonts w:cs="Tahoma"/>
          <w:b/>
          <w:sz w:val="22"/>
          <w:szCs w:val="22"/>
        </w:rPr>
      </w:pPr>
    </w:p>
    <w:p w:rsidR="0029428B" w:rsidRDefault="0029428B" w:rsidP="00370406">
      <w:pPr>
        <w:pStyle w:val="Paraststmeklis"/>
        <w:ind w:left="1440" w:right="71"/>
        <w:jc w:val="right"/>
        <w:rPr>
          <w:rFonts w:cs="Tahoma"/>
          <w:b/>
          <w:sz w:val="22"/>
          <w:szCs w:val="22"/>
        </w:rPr>
      </w:pPr>
    </w:p>
    <w:p w:rsidR="00A83336" w:rsidRPr="0019592E" w:rsidRDefault="0019592E" w:rsidP="00370406">
      <w:pPr>
        <w:pStyle w:val="Paraststmeklis"/>
        <w:ind w:left="1440" w:right="71"/>
        <w:jc w:val="right"/>
        <w:rPr>
          <w:rFonts w:cs="Tahoma"/>
          <w:sz w:val="20"/>
          <w:szCs w:val="20"/>
        </w:rPr>
      </w:pPr>
      <w:r>
        <w:rPr>
          <w:rFonts w:cs="Tahoma"/>
          <w:b/>
          <w:sz w:val="22"/>
          <w:szCs w:val="22"/>
        </w:rPr>
        <w:t xml:space="preserve">                              </w:t>
      </w:r>
      <w:r w:rsidRPr="0019592E">
        <w:rPr>
          <w:rFonts w:cs="Tahoma"/>
          <w:sz w:val="20"/>
          <w:szCs w:val="20"/>
        </w:rPr>
        <w:t>tabula Nr.7</w:t>
      </w:r>
    </w:p>
    <w:tbl>
      <w:tblPr>
        <w:tblStyle w:val="Reatabula"/>
        <w:tblW w:w="0" w:type="auto"/>
        <w:tblInd w:w="-176" w:type="dxa"/>
        <w:tblLook w:val="04A0" w:firstRow="1" w:lastRow="0" w:firstColumn="1" w:lastColumn="0" w:noHBand="0" w:noVBand="1"/>
      </w:tblPr>
      <w:tblGrid>
        <w:gridCol w:w="2631"/>
        <w:gridCol w:w="2072"/>
        <w:gridCol w:w="2257"/>
        <w:gridCol w:w="2257"/>
      </w:tblGrid>
      <w:tr w:rsidR="006F69C9" w:rsidTr="00305E7E">
        <w:tc>
          <w:tcPr>
            <w:tcW w:w="2694" w:type="dxa"/>
            <w:tcBorders>
              <w:top w:val="single" w:sz="12" w:space="0" w:color="auto"/>
              <w:left w:val="single" w:sz="12" w:space="0" w:color="auto"/>
              <w:bottom w:val="single" w:sz="12" w:space="0" w:color="auto"/>
              <w:right w:val="single" w:sz="8" w:space="0" w:color="auto"/>
            </w:tcBorders>
          </w:tcPr>
          <w:p w:rsidR="006F69C9" w:rsidRDefault="006F69C9" w:rsidP="00A83336">
            <w:pPr>
              <w:pStyle w:val="Paraststmeklis"/>
              <w:ind w:right="71"/>
              <w:jc w:val="both"/>
              <w:rPr>
                <w:rFonts w:cs="Tahoma"/>
                <w:b/>
                <w:sz w:val="22"/>
                <w:szCs w:val="22"/>
              </w:rPr>
            </w:pPr>
            <w:r>
              <w:rPr>
                <w:rFonts w:cs="Tahoma"/>
                <w:b/>
                <w:sz w:val="22"/>
                <w:szCs w:val="22"/>
              </w:rPr>
              <w:t>Nodokļa veids</w:t>
            </w:r>
          </w:p>
        </w:tc>
        <w:tc>
          <w:tcPr>
            <w:tcW w:w="2125" w:type="dxa"/>
            <w:tcBorders>
              <w:top w:val="single" w:sz="12" w:space="0" w:color="auto"/>
              <w:left w:val="single" w:sz="8" w:space="0" w:color="auto"/>
              <w:bottom w:val="single" w:sz="12" w:space="0" w:color="auto"/>
              <w:right w:val="single" w:sz="8" w:space="0" w:color="auto"/>
            </w:tcBorders>
          </w:tcPr>
          <w:p w:rsidR="006F69C9" w:rsidRDefault="006F69C9" w:rsidP="00C22DE3">
            <w:pPr>
              <w:pStyle w:val="Paraststmeklis"/>
              <w:ind w:right="71"/>
              <w:jc w:val="center"/>
              <w:rPr>
                <w:rFonts w:cs="Tahoma"/>
                <w:b/>
                <w:sz w:val="22"/>
                <w:szCs w:val="22"/>
              </w:rPr>
            </w:pPr>
            <w:r>
              <w:rPr>
                <w:rFonts w:cs="Tahoma"/>
                <w:b/>
                <w:sz w:val="22"/>
                <w:szCs w:val="22"/>
              </w:rPr>
              <w:t>201</w:t>
            </w:r>
            <w:r w:rsidR="00C22DE3">
              <w:rPr>
                <w:rFonts w:cs="Tahoma"/>
                <w:b/>
                <w:sz w:val="22"/>
                <w:szCs w:val="22"/>
              </w:rPr>
              <w:t>7</w:t>
            </w:r>
            <w:r>
              <w:rPr>
                <w:rFonts w:cs="Tahoma"/>
                <w:b/>
                <w:sz w:val="22"/>
                <w:szCs w:val="22"/>
              </w:rPr>
              <w:t>.gads</w:t>
            </w:r>
          </w:p>
        </w:tc>
        <w:tc>
          <w:tcPr>
            <w:tcW w:w="2322" w:type="dxa"/>
            <w:tcBorders>
              <w:top w:val="single" w:sz="12" w:space="0" w:color="auto"/>
              <w:left w:val="single" w:sz="8" w:space="0" w:color="auto"/>
              <w:bottom w:val="single" w:sz="12" w:space="0" w:color="auto"/>
              <w:right w:val="single" w:sz="8" w:space="0" w:color="auto"/>
            </w:tcBorders>
          </w:tcPr>
          <w:p w:rsidR="006F69C9" w:rsidRDefault="006F69C9" w:rsidP="00C22DE3">
            <w:pPr>
              <w:pStyle w:val="Paraststmeklis"/>
              <w:ind w:right="71"/>
              <w:jc w:val="center"/>
              <w:rPr>
                <w:rFonts w:cs="Tahoma"/>
                <w:b/>
                <w:sz w:val="22"/>
                <w:szCs w:val="22"/>
              </w:rPr>
            </w:pPr>
            <w:r>
              <w:rPr>
                <w:rFonts w:cs="Tahoma"/>
                <w:b/>
                <w:sz w:val="22"/>
                <w:szCs w:val="22"/>
              </w:rPr>
              <w:t>201</w:t>
            </w:r>
            <w:r w:rsidR="00C22DE3">
              <w:rPr>
                <w:rFonts w:cs="Tahoma"/>
                <w:b/>
                <w:sz w:val="22"/>
                <w:szCs w:val="22"/>
              </w:rPr>
              <w:t>8</w:t>
            </w:r>
            <w:r>
              <w:rPr>
                <w:rFonts w:cs="Tahoma"/>
                <w:b/>
                <w:sz w:val="22"/>
                <w:szCs w:val="22"/>
              </w:rPr>
              <w:t>.gads</w:t>
            </w:r>
          </w:p>
        </w:tc>
        <w:tc>
          <w:tcPr>
            <w:tcW w:w="2322" w:type="dxa"/>
            <w:tcBorders>
              <w:top w:val="single" w:sz="12" w:space="0" w:color="auto"/>
              <w:left w:val="single" w:sz="8" w:space="0" w:color="auto"/>
              <w:bottom w:val="single" w:sz="12" w:space="0" w:color="auto"/>
              <w:right w:val="single" w:sz="12" w:space="0" w:color="auto"/>
            </w:tcBorders>
          </w:tcPr>
          <w:p w:rsidR="006F69C9" w:rsidRDefault="006F69C9" w:rsidP="00C22DE3">
            <w:pPr>
              <w:pStyle w:val="Paraststmeklis"/>
              <w:ind w:right="71"/>
              <w:jc w:val="center"/>
              <w:rPr>
                <w:rFonts w:cs="Tahoma"/>
                <w:b/>
                <w:sz w:val="22"/>
                <w:szCs w:val="22"/>
              </w:rPr>
            </w:pPr>
            <w:r>
              <w:rPr>
                <w:rFonts w:cs="Tahoma"/>
                <w:b/>
                <w:sz w:val="22"/>
                <w:szCs w:val="22"/>
              </w:rPr>
              <w:t>201</w:t>
            </w:r>
            <w:r w:rsidR="00C22DE3">
              <w:rPr>
                <w:rFonts w:cs="Tahoma"/>
                <w:b/>
                <w:sz w:val="22"/>
                <w:szCs w:val="22"/>
              </w:rPr>
              <w:t>9</w:t>
            </w:r>
            <w:r>
              <w:rPr>
                <w:rFonts w:cs="Tahoma"/>
                <w:b/>
                <w:sz w:val="22"/>
                <w:szCs w:val="22"/>
              </w:rPr>
              <w:t>.gads</w:t>
            </w:r>
          </w:p>
        </w:tc>
      </w:tr>
      <w:tr w:rsidR="006F69C9" w:rsidTr="00305E7E">
        <w:tc>
          <w:tcPr>
            <w:tcW w:w="2694" w:type="dxa"/>
            <w:tcBorders>
              <w:top w:val="single" w:sz="12" w:space="0" w:color="auto"/>
            </w:tcBorders>
          </w:tcPr>
          <w:p w:rsidR="006F69C9" w:rsidRPr="006F69C9" w:rsidRDefault="006F69C9" w:rsidP="00A83336">
            <w:pPr>
              <w:pStyle w:val="Paraststmeklis"/>
              <w:ind w:right="71"/>
              <w:jc w:val="both"/>
              <w:rPr>
                <w:rFonts w:cs="Tahoma"/>
                <w:sz w:val="22"/>
                <w:szCs w:val="22"/>
              </w:rPr>
            </w:pPr>
            <w:r w:rsidRPr="006F69C9">
              <w:rPr>
                <w:rFonts w:cs="Tahoma"/>
                <w:sz w:val="22"/>
                <w:szCs w:val="22"/>
              </w:rPr>
              <w:t>Dabas resursu nodoklis</w:t>
            </w:r>
          </w:p>
        </w:tc>
        <w:tc>
          <w:tcPr>
            <w:tcW w:w="2125" w:type="dxa"/>
            <w:tcBorders>
              <w:top w:val="single" w:sz="12" w:space="0" w:color="auto"/>
            </w:tcBorders>
          </w:tcPr>
          <w:p w:rsidR="006F69C9" w:rsidRPr="006F69C9" w:rsidRDefault="00C22DE3" w:rsidP="00C22DE3">
            <w:pPr>
              <w:pStyle w:val="Paraststmeklis"/>
              <w:ind w:right="71"/>
              <w:jc w:val="right"/>
              <w:rPr>
                <w:rFonts w:cs="Tahoma"/>
                <w:sz w:val="22"/>
                <w:szCs w:val="22"/>
              </w:rPr>
            </w:pPr>
            <w:r>
              <w:rPr>
                <w:rFonts w:cs="Tahoma"/>
                <w:sz w:val="22"/>
                <w:szCs w:val="22"/>
              </w:rPr>
              <w:t>7 3</w:t>
            </w:r>
            <w:r w:rsidR="006F69C9" w:rsidRPr="006F69C9">
              <w:rPr>
                <w:rFonts w:cs="Tahoma"/>
                <w:sz w:val="22"/>
                <w:szCs w:val="22"/>
              </w:rPr>
              <w:t>00</w:t>
            </w:r>
          </w:p>
        </w:tc>
        <w:tc>
          <w:tcPr>
            <w:tcW w:w="2322" w:type="dxa"/>
            <w:tcBorders>
              <w:top w:val="single" w:sz="12" w:space="0" w:color="auto"/>
            </w:tcBorders>
          </w:tcPr>
          <w:p w:rsidR="006F69C9" w:rsidRPr="006F69C9" w:rsidRDefault="00C22DE3" w:rsidP="00C22DE3">
            <w:pPr>
              <w:pStyle w:val="Paraststmeklis"/>
              <w:ind w:right="71"/>
              <w:jc w:val="right"/>
              <w:rPr>
                <w:rFonts w:cs="Tahoma"/>
                <w:sz w:val="22"/>
                <w:szCs w:val="22"/>
              </w:rPr>
            </w:pPr>
            <w:r>
              <w:rPr>
                <w:rFonts w:cs="Tahoma"/>
                <w:sz w:val="22"/>
                <w:szCs w:val="22"/>
              </w:rPr>
              <w:t>7 350</w:t>
            </w:r>
          </w:p>
        </w:tc>
        <w:tc>
          <w:tcPr>
            <w:tcW w:w="2322" w:type="dxa"/>
            <w:tcBorders>
              <w:top w:val="single" w:sz="12" w:space="0" w:color="auto"/>
            </w:tcBorders>
          </w:tcPr>
          <w:p w:rsidR="006F69C9" w:rsidRPr="006F69C9" w:rsidRDefault="00C22DE3" w:rsidP="00C22DE3">
            <w:pPr>
              <w:pStyle w:val="Paraststmeklis"/>
              <w:ind w:right="71"/>
              <w:jc w:val="right"/>
              <w:rPr>
                <w:rFonts w:cs="Tahoma"/>
                <w:sz w:val="22"/>
                <w:szCs w:val="22"/>
              </w:rPr>
            </w:pPr>
            <w:r>
              <w:rPr>
                <w:rFonts w:cs="Tahoma"/>
                <w:sz w:val="22"/>
                <w:szCs w:val="22"/>
              </w:rPr>
              <w:t>7 350</w:t>
            </w:r>
          </w:p>
        </w:tc>
      </w:tr>
      <w:tr w:rsidR="006F69C9" w:rsidTr="00305E7E">
        <w:tc>
          <w:tcPr>
            <w:tcW w:w="2694" w:type="dxa"/>
          </w:tcPr>
          <w:p w:rsidR="006F69C9" w:rsidRPr="00367392" w:rsidRDefault="00367392" w:rsidP="00367392">
            <w:pPr>
              <w:pStyle w:val="Paraststmeklis"/>
              <w:ind w:right="71"/>
              <w:rPr>
                <w:rFonts w:cs="Tahoma"/>
                <w:sz w:val="22"/>
                <w:szCs w:val="22"/>
              </w:rPr>
            </w:pPr>
            <w:r w:rsidRPr="00367392">
              <w:rPr>
                <w:rFonts w:cs="Tahoma"/>
                <w:sz w:val="22"/>
                <w:szCs w:val="22"/>
              </w:rPr>
              <w:t>Valsts</w:t>
            </w:r>
            <w:r>
              <w:rPr>
                <w:rFonts w:cs="Tahoma"/>
                <w:sz w:val="22"/>
                <w:szCs w:val="22"/>
              </w:rPr>
              <w:t xml:space="preserve"> </w:t>
            </w:r>
            <w:r w:rsidRPr="00367392">
              <w:rPr>
                <w:rFonts w:cs="Tahoma"/>
                <w:sz w:val="22"/>
                <w:szCs w:val="22"/>
              </w:rPr>
              <w:t xml:space="preserve">sociālās </w:t>
            </w:r>
            <w:r>
              <w:rPr>
                <w:rFonts w:cs="Tahoma"/>
                <w:sz w:val="22"/>
                <w:szCs w:val="22"/>
              </w:rPr>
              <w:t>ap</w:t>
            </w:r>
            <w:r w:rsidRPr="00367392">
              <w:rPr>
                <w:rFonts w:cs="Tahoma"/>
                <w:sz w:val="22"/>
                <w:szCs w:val="22"/>
              </w:rPr>
              <w:t>drošināšanas obligātās iemaks</w:t>
            </w:r>
            <w:r>
              <w:rPr>
                <w:rFonts w:cs="Tahoma"/>
                <w:sz w:val="22"/>
                <w:szCs w:val="22"/>
              </w:rPr>
              <w:t>a</w:t>
            </w:r>
            <w:r w:rsidRPr="00367392">
              <w:rPr>
                <w:rFonts w:cs="Tahoma"/>
                <w:sz w:val="22"/>
                <w:szCs w:val="22"/>
              </w:rPr>
              <w:t xml:space="preserve">s </w:t>
            </w:r>
          </w:p>
        </w:tc>
        <w:tc>
          <w:tcPr>
            <w:tcW w:w="2125" w:type="dxa"/>
          </w:tcPr>
          <w:p w:rsidR="006F69C9" w:rsidRPr="00367392" w:rsidRDefault="00C22DE3" w:rsidP="00C22DE3">
            <w:pPr>
              <w:pStyle w:val="Paraststmeklis"/>
              <w:ind w:right="71"/>
              <w:jc w:val="right"/>
              <w:rPr>
                <w:rFonts w:cs="Tahoma"/>
                <w:sz w:val="22"/>
                <w:szCs w:val="22"/>
              </w:rPr>
            </w:pPr>
            <w:r>
              <w:rPr>
                <w:rFonts w:cs="Tahoma"/>
                <w:sz w:val="22"/>
                <w:szCs w:val="22"/>
              </w:rPr>
              <w:t>86 194</w:t>
            </w:r>
          </w:p>
        </w:tc>
        <w:tc>
          <w:tcPr>
            <w:tcW w:w="2322" w:type="dxa"/>
          </w:tcPr>
          <w:p w:rsidR="006F69C9" w:rsidRPr="00367392" w:rsidRDefault="00C22DE3" w:rsidP="00C22DE3">
            <w:pPr>
              <w:pStyle w:val="Paraststmeklis"/>
              <w:ind w:right="71"/>
              <w:jc w:val="right"/>
              <w:rPr>
                <w:rFonts w:cs="Tahoma"/>
                <w:sz w:val="22"/>
                <w:szCs w:val="22"/>
              </w:rPr>
            </w:pPr>
            <w:r>
              <w:rPr>
                <w:rFonts w:cs="Tahoma"/>
                <w:sz w:val="22"/>
                <w:szCs w:val="22"/>
              </w:rPr>
              <w:t>86 200</w:t>
            </w:r>
          </w:p>
        </w:tc>
        <w:tc>
          <w:tcPr>
            <w:tcW w:w="2322" w:type="dxa"/>
          </w:tcPr>
          <w:p w:rsidR="006F69C9" w:rsidRPr="00367392" w:rsidRDefault="00C22DE3" w:rsidP="00C22DE3">
            <w:pPr>
              <w:pStyle w:val="Paraststmeklis"/>
              <w:ind w:right="71"/>
              <w:jc w:val="right"/>
              <w:rPr>
                <w:rFonts w:cs="Tahoma"/>
                <w:sz w:val="22"/>
                <w:szCs w:val="22"/>
              </w:rPr>
            </w:pPr>
            <w:r>
              <w:rPr>
                <w:rFonts w:cs="Tahoma"/>
                <w:sz w:val="22"/>
                <w:szCs w:val="22"/>
              </w:rPr>
              <w:t>86 400</w:t>
            </w:r>
          </w:p>
        </w:tc>
      </w:tr>
      <w:tr w:rsidR="006F69C9" w:rsidTr="00305E7E">
        <w:tc>
          <w:tcPr>
            <w:tcW w:w="2694" w:type="dxa"/>
          </w:tcPr>
          <w:p w:rsidR="006F69C9" w:rsidRPr="00367392" w:rsidRDefault="00367392" w:rsidP="00367392">
            <w:pPr>
              <w:pStyle w:val="Paraststmeklis"/>
              <w:ind w:right="71"/>
              <w:jc w:val="both"/>
              <w:rPr>
                <w:rFonts w:cs="Tahoma"/>
                <w:sz w:val="22"/>
                <w:szCs w:val="22"/>
              </w:rPr>
            </w:pPr>
            <w:r w:rsidRPr="00367392">
              <w:rPr>
                <w:rFonts w:cs="Tahoma"/>
                <w:sz w:val="22"/>
                <w:szCs w:val="22"/>
              </w:rPr>
              <w:t>Pievienotās vērtības nodoklis</w:t>
            </w:r>
          </w:p>
        </w:tc>
        <w:tc>
          <w:tcPr>
            <w:tcW w:w="2125" w:type="dxa"/>
          </w:tcPr>
          <w:p w:rsidR="006F69C9" w:rsidRPr="00EF58AE" w:rsidRDefault="00C22DE3" w:rsidP="00C22DE3">
            <w:pPr>
              <w:pStyle w:val="Paraststmeklis"/>
              <w:ind w:right="71"/>
              <w:jc w:val="right"/>
              <w:rPr>
                <w:rFonts w:cs="Tahoma"/>
                <w:sz w:val="22"/>
                <w:szCs w:val="22"/>
              </w:rPr>
            </w:pPr>
            <w:r>
              <w:rPr>
                <w:rFonts w:cs="Tahoma"/>
                <w:sz w:val="22"/>
                <w:szCs w:val="22"/>
              </w:rPr>
              <w:t>81 612</w:t>
            </w:r>
          </w:p>
        </w:tc>
        <w:tc>
          <w:tcPr>
            <w:tcW w:w="2322" w:type="dxa"/>
          </w:tcPr>
          <w:p w:rsidR="006F69C9" w:rsidRPr="00EF58AE" w:rsidRDefault="00C22DE3" w:rsidP="00C22DE3">
            <w:pPr>
              <w:pStyle w:val="Paraststmeklis"/>
              <w:ind w:right="71"/>
              <w:jc w:val="right"/>
              <w:rPr>
                <w:rFonts w:cs="Tahoma"/>
                <w:sz w:val="22"/>
                <w:szCs w:val="22"/>
              </w:rPr>
            </w:pPr>
            <w:r>
              <w:rPr>
                <w:rFonts w:cs="Tahoma"/>
                <w:sz w:val="22"/>
                <w:szCs w:val="22"/>
              </w:rPr>
              <w:t>8</w:t>
            </w:r>
            <w:r w:rsidR="00EF58AE" w:rsidRPr="00EF58AE">
              <w:rPr>
                <w:rFonts w:cs="Tahoma"/>
                <w:sz w:val="22"/>
                <w:szCs w:val="22"/>
              </w:rPr>
              <w:t>2</w:t>
            </w:r>
            <w:r>
              <w:rPr>
                <w:rFonts w:cs="Tahoma"/>
                <w:sz w:val="22"/>
                <w:szCs w:val="22"/>
              </w:rPr>
              <w:t xml:space="preserve"> </w:t>
            </w:r>
            <w:r w:rsidR="00EF58AE" w:rsidRPr="00EF58AE">
              <w:rPr>
                <w:rFonts w:cs="Tahoma"/>
                <w:sz w:val="22"/>
                <w:szCs w:val="22"/>
              </w:rPr>
              <w:t>340</w:t>
            </w:r>
          </w:p>
        </w:tc>
        <w:tc>
          <w:tcPr>
            <w:tcW w:w="2322" w:type="dxa"/>
          </w:tcPr>
          <w:p w:rsidR="006F69C9" w:rsidRPr="00EF58AE" w:rsidRDefault="00C22DE3" w:rsidP="00C22DE3">
            <w:pPr>
              <w:pStyle w:val="Paraststmeklis"/>
              <w:ind w:right="71"/>
              <w:jc w:val="right"/>
              <w:rPr>
                <w:rFonts w:cs="Tahoma"/>
                <w:sz w:val="22"/>
                <w:szCs w:val="22"/>
              </w:rPr>
            </w:pPr>
            <w:r>
              <w:rPr>
                <w:rFonts w:cs="Tahoma"/>
                <w:sz w:val="22"/>
                <w:szCs w:val="22"/>
              </w:rPr>
              <w:t>82 350</w:t>
            </w:r>
          </w:p>
        </w:tc>
      </w:tr>
      <w:tr w:rsidR="006F69C9" w:rsidTr="00305E7E">
        <w:tc>
          <w:tcPr>
            <w:tcW w:w="2694" w:type="dxa"/>
          </w:tcPr>
          <w:p w:rsidR="006F69C9" w:rsidRPr="00EF58AE" w:rsidRDefault="00EF58AE" w:rsidP="00A83336">
            <w:pPr>
              <w:pStyle w:val="Paraststmeklis"/>
              <w:ind w:right="71"/>
              <w:jc w:val="both"/>
              <w:rPr>
                <w:rFonts w:cs="Tahoma"/>
                <w:sz w:val="22"/>
                <w:szCs w:val="22"/>
              </w:rPr>
            </w:pPr>
            <w:r w:rsidRPr="00EF58AE">
              <w:rPr>
                <w:rFonts w:cs="Tahoma"/>
                <w:sz w:val="22"/>
                <w:szCs w:val="22"/>
              </w:rPr>
              <w:t>Īpašuma nodoklis</w:t>
            </w:r>
          </w:p>
        </w:tc>
        <w:tc>
          <w:tcPr>
            <w:tcW w:w="2125" w:type="dxa"/>
          </w:tcPr>
          <w:p w:rsidR="006F69C9" w:rsidRPr="00EF58AE" w:rsidRDefault="00EF58AE" w:rsidP="00C22DE3">
            <w:pPr>
              <w:pStyle w:val="Paraststmeklis"/>
              <w:ind w:right="71"/>
              <w:jc w:val="right"/>
              <w:rPr>
                <w:rFonts w:cs="Tahoma"/>
                <w:sz w:val="22"/>
                <w:szCs w:val="22"/>
              </w:rPr>
            </w:pPr>
            <w:r w:rsidRPr="00EF58AE">
              <w:rPr>
                <w:rFonts w:cs="Tahoma"/>
                <w:sz w:val="22"/>
                <w:szCs w:val="22"/>
              </w:rPr>
              <w:t>1</w:t>
            </w:r>
            <w:r w:rsidR="00C22DE3">
              <w:rPr>
                <w:rFonts w:cs="Tahoma"/>
                <w:sz w:val="22"/>
                <w:szCs w:val="22"/>
              </w:rPr>
              <w:t xml:space="preserve"> </w:t>
            </w:r>
            <w:r w:rsidRPr="00EF58AE">
              <w:rPr>
                <w:rFonts w:cs="Tahoma"/>
                <w:sz w:val="22"/>
                <w:szCs w:val="22"/>
              </w:rPr>
              <w:t>0</w:t>
            </w:r>
            <w:r w:rsidR="00C22DE3">
              <w:rPr>
                <w:rFonts w:cs="Tahoma"/>
                <w:sz w:val="22"/>
                <w:szCs w:val="22"/>
              </w:rPr>
              <w:t>82</w:t>
            </w:r>
          </w:p>
        </w:tc>
        <w:tc>
          <w:tcPr>
            <w:tcW w:w="2322" w:type="dxa"/>
          </w:tcPr>
          <w:p w:rsidR="006F69C9" w:rsidRPr="00EF58AE" w:rsidRDefault="00EF58AE" w:rsidP="00C22DE3">
            <w:pPr>
              <w:pStyle w:val="Paraststmeklis"/>
              <w:ind w:right="71"/>
              <w:jc w:val="right"/>
              <w:rPr>
                <w:rFonts w:cs="Tahoma"/>
                <w:sz w:val="22"/>
                <w:szCs w:val="22"/>
              </w:rPr>
            </w:pPr>
            <w:r w:rsidRPr="00EF58AE">
              <w:rPr>
                <w:rFonts w:cs="Tahoma"/>
                <w:sz w:val="22"/>
                <w:szCs w:val="22"/>
              </w:rPr>
              <w:t>1</w:t>
            </w:r>
            <w:r w:rsidR="00C22DE3">
              <w:rPr>
                <w:rFonts w:cs="Tahoma"/>
                <w:sz w:val="22"/>
                <w:szCs w:val="22"/>
              </w:rPr>
              <w:t xml:space="preserve"> </w:t>
            </w:r>
            <w:r w:rsidRPr="00EF58AE">
              <w:rPr>
                <w:rFonts w:cs="Tahoma"/>
                <w:sz w:val="22"/>
                <w:szCs w:val="22"/>
              </w:rPr>
              <w:t>210</w:t>
            </w:r>
          </w:p>
        </w:tc>
        <w:tc>
          <w:tcPr>
            <w:tcW w:w="2322" w:type="dxa"/>
          </w:tcPr>
          <w:p w:rsidR="006F69C9" w:rsidRPr="00EF58AE" w:rsidRDefault="00EF58AE" w:rsidP="00C22DE3">
            <w:pPr>
              <w:pStyle w:val="Paraststmeklis"/>
              <w:ind w:right="71"/>
              <w:jc w:val="right"/>
              <w:rPr>
                <w:rFonts w:cs="Tahoma"/>
                <w:sz w:val="22"/>
                <w:szCs w:val="22"/>
              </w:rPr>
            </w:pPr>
            <w:r w:rsidRPr="00EF58AE">
              <w:rPr>
                <w:rFonts w:cs="Tahoma"/>
                <w:sz w:val="22"/>
                <w:szCs w:val="22"/>
              </w:rPr>
              <w:t>1</w:t>
            </w:r>
            <w:r w:rsidR="00C22DE3">
              <w:rPr>
                <w:rFonts w:cs="Tahoma"/>
                <w:sz w:val="22"/>
                <w:szCs w:val="22"/>
              </w:rPr>
              <w:t xml:space="preserve"> </w:t>
            </w:r>
            <w:r w:rsidRPr="00EF58AE">
              <w:rPr>
                <w:rFonts w:cs="Tahoma"/>
                <w:sz w:val="22"/>
                <w:szCs w:val="22"/>
              </w:rPr>
              <w:t>215</w:t>
            </w:r>
          </w:p>
        </w:tc>
      </w:tr>
      <w:tr w:rsidR="006F69C9" w:rsidTr="00305E7E">
        <w:tc>
          <w:tcPr>
            <w:tcW w:w="2694" w:type="dxa"/>
            <w:tcBorders>
              <w:bottom w:val="single" w:sz="4" w:space="0" w:color="auto"/>
            </w:tcBorders>
          </w:tcPr>
          <w:p w:rsidR="006F69C9" w:rsidRPr="00EF58AE" w:rsidRDefault="00EF58AE" w:rsidP="00A83336">
            <w:pPr>
              <w:pStyle w:val="Paraststmeklis"/>
              <w:ind w:right="71"/>
              <w:jc w:val="both"/>
              <w:rPr>
                <w:rFonts w:cs="Tahoma"/>
                <w:sz w:val="22"/>
                <w:szCs w:val="22"/>
              </w:rPr>
            </w:pPr>
            <w:r w:rsidRPr="00EF58AE">
              <w:rPr>
                <w:rFonts w:cs="Tahoma"/>
                <w:sz w:val="22"/>
                <w:szCs w:val="22"/>
              </w:rPr>
              <w:t>Iedzīvotāju ienākuma nodoklis</w:t>
            </w:r>
          </w:p>
        </w:tc>
        <w:tc>
          <w:tcPr>
            <w:tcW w:w="2125" w:type="dxa"/>
            <w:tcBorders>
              <w:bottom w:val="single" w:sz="4" w:space="0" w:color="auto"/>
            </w:tcBorders>
          </w:tcPr>
          <w:p w:rsidR="006F69C9" w:rsidRPr="006B0A1F" w:rsidRDefault="006B0A1F" w:rsidP="00C22DE3">
            <w:pPr>
              <w:pStyle w:val="Paraststmeklis"/>
              <w:ind w:right="71"/>
              <w:jc w:val="right"/>
              <w:rPr>
                <w:rFonts w:cs="Tahoma"/>
                <w:sz w:val="22"/>
                <w:szCs w:val="22"/>
              </w:rPr>
            </w:pPr>
            <w:r w:rsidRPr="006B0A1F">
              <w:rPr>
                <w:rFonts w:cs="Tahoma"/>
                <w:sz w:val="22"/>
                <w:szCs w:val="22"/>
              </w:rPr>
              <w:t>48</w:t>
            </w:r>
            <w:r w:rsidR="00C22DE3">
              <w:rPr>
                <w:rFonts w:cs="Tahoma"/>
                <w:sz w:val="22"/>
                <w:szCs w:val="22"/>
              </w:rPr>
              <w:t xml:space="preserve"> 516</w:t>
            </w:r>
          </w:p>
        </w:tc>
        <w:tc>
          <w:tcPr>
            <w:tcW w:w="2322" w:type="dxa"/>
            <w:tcBorders>
              <w:bottom w:val="single" w:sz="4" w:space="0" w:color="auto"/>
            </w:tcBorders>
          </w:tcPr>
          <w:p w:rsidR="006F69C9" w:rsidRPr="006B0A1F" w:rsidRDefault="006B0A1F" w:rsidP="00C22DE3">
            <w:pPr>
              <w:pStyle w:val="Paraststmeklis"/>
              <w:ind w:right="71"/>
              <w:jc w:val="right"/>
              <w:rPr>
                <w:rFonts w:cs="Tahoma"/>
                <w:sz w:val="22"/>
                <w:szCs w:val="22"/>
              </w:rPr>
            </w:pPr>
            <w:r w:rsidRPr="006B0A1F">
              <w:rPr>
                <w:rFonts w:cs="Tahoma"/>
                <w:sz w:val="22"/>
                <w:szCs w:val="22"/>
              </w:rPr>
              <w:t>48</w:t>
            </w:r>
            <w:r w:rsidR="00C22DE3">
              <w:rPr>
                <w:rFonts w:cs="Tahoma"/>
                <w:sz w:val="22"/>
                <w:szCs w:val="22"/>
              </w:rPr>
              <w:t xml:space="preserve"> </w:t>
            </w:r>
            <w:r w:rsidRPr="006B0A1F">
              <w:rPr>
                <w:rFonts w:cs="Tahoma"/>
                <w:sz w:val="22"/>
                <w:szCs w:val="22"/>
              </w:rPr>
              <w:t>800</w:t>
            </w:r>
          </w:p>
        </w:tc>
        <w:tc>
          <w:tcPr>
            <w:tcW w:w="2322" w:type="dxa"/>
            <w:tcBorders>
              <w:bottom w:val="single" w:sz="4" w:space="0" w:color="auto"/>
            </w:tcBorders>
          </w:tcPr>
          <w:p w:rsidR="006F69C9" w:rsidRPr="006B0A1F" w:rsidRDefault="006B0A1F" w:rsidP="00C22DE3">
            <w:pPr>
              <w:pStyle w:val="Paraststmeklis"/>
              <w:ind w:right="71"/>
              <w:jc w:val="right"/>
              <w:rPr>
                <w:rFonts w:cs="Tahoma"/>
                <w:sz w:val="22"/>
                <w:szCs w:val="22"/>
              </w:rPr>
            </w:pPr>
            <w:r w:rsidRPr="006B0A1F">
              <w:rPr>
                <w:rFonts w:cs="Tahoma"/>
                <w:sz w:val="22"/>
                <w:szCs w:val="22"/>
              </w:rPr>
              <w:t>48</w:t>
            </w:r>
            <w:r w:rsidR="00C22DE3">
              <w:rPr>
                <w:rFonts w:cs="Tahoma"/>
                <w:sz w:val="22"/>
                <w:szCs w:val="22"/>
              </w:rPr>
              <w:t xml:space="preserve"> </w:t>
            </w:r>
            <w:r w:rsidRPr="006B0A1F">
              <w:rPr>
                <w:rFonts w:cs="Tahoma"/>
                <w:sz w:val="22"/>
                <w:szCs w:val="22"/>
              </w:rPr>
              <w:t>850</w:t>
            </w:r>
          </w:p>
        </w:tc>
      </w:tr>
      <w:tr w:rsidR="006B0A1F" w:rsidTr="00305E7E">
        <w:tc>
          <w:tcPr>
            <w:tcW w:w="2694" w:type="dxa"/>
            <w:tcBorders>
              <w:bottom w:val="single" w:sz="4" w:space="0" w:color="auto"/>
            </w:tcBorders>
          </w:tcPr>
          <w:p w:rsidR="006B0A1F" w:rsidRPr="00EF58AE" w:rsidRDefault="006B0A1F" w:rsidP="00A83336">
            <w:pPr>
              <w:pStyle w:val="Paraststmeklis"/>
              <w:ind w:right="71"/>
              <w:jc w:val="both"/>
              <w:rPr>
                <w:rFonts w:cs="Tahoma"/>
                <w:sz w:val="22"/>
                <w:szCs w:val="22"/>
              </w:rPr>
            </w:pPr>
            <w:r>
              <w:rPr>
                <w:rFonts w:cs="Tahoma"/>
                <w:sz w:val="22"/>
                <w:szCs w:val="22"/>
              </w:rPr>
              <w:t>Riska nodeva</w:t>
            </w:r>
          </w:p>
        </w:tc>
        <w:tc>
          <w:tcPr>
            <w:tcW w:w="2125" w:type="dxa"/>
            <w:tcBorders>
              <w:bottom w:val="single" w:sz="4" w:space="0" w:color="auto"/>
            </w:tcBorders>
          </w:tcPr>
          <w:p w:rsidR="006B0A1F" w:rsidRPr="006B0A1F" w:rsidRDefault="006B0A1F" w:rsidP="00C22DE3">
            <w:pPr>
              <w:pStyle w:val="Paraststmeklis"/>
              <w:ind w:right="71"/>
              <w:jc w:val="right"/>
              <w:rPr>
                <w:rFonts w:cs="Tahoma"/>
                <w:sz w:val="22"/>
                <w:szCs w:val="22"/>
              </w:rPr>
            </w:pPr>
            <w:r>
              <w:rPr>
                <w:rFonts w:cs="Tahoma"/>
                <w:sz w:val="22"/>
                <w:szCs w:val="22"/>
              </w:rPr>
              <w:t>13</w:t>
            </w:r>
            <w:r w:rsidR="00C22DE3">
              <w:rPr>
                <w:rFonts w:cs="Tahoma"/>
                <w:sz w:val="22"/>
                <w:szCs w:val="22"/>
              </w:rPr>
              <w:t>6</w:t>
            </w:r>
          </w:p>
        </w:tc>
        <w:tc>
          <w:tcPr>
            <w:tcW w:w="2322" w:type="dxa"/>
            <w:tcBorders>
              <w:bottom w:val="single" w:sz="4" w:space="0" w:color="auto"/>
            </w:tcBorders>
          </w:tcPr>
          <w:p w:rsidR="006B0A1F" w:rsidRPr="006B0A1F" w:rsidRDefault="006B0A1F" w:rsidP="00C22DE3">
            <w:pPr>
              <w:pStyle w:val="Paraststmeklis"/>
              <w:ind w:right="71"/>
              <w:jc w:val="right"/>
              <w:rPr>
                <w:rFonts w:cs="Tahoma"/>
                <w:sz w:val="22"/>
                <w:szCs w:val="22"/>
              </w:rPr>
            </w:pPr>
            <w:r>
              <w:rPr>
                <w:rFonts w:cs="Tahoma"/>
                <w:sz w:val="22"/>
                <w:szCs w:val="22"/>
              </w:rPr>
              <w:t>139</w:t>
            </w:r>
          </w:p>
        </w:tc>
        <w:tc>
          <w:tcPr>
            <w:tcW w:w="2322" w:type="dxa"/>
            <w:tcBorders>
              <w:bottom w:val="single" w:sz="4" w:space="0" w:color="auto"/>
            </w:tcBorders>
          </w:tcPr>
          <w:p w:rsidR="006B0A1F" w:rsidRPr="006B0A1F" w:rsidRDefault="006B0A1F" w:rsidP="00C22DE3">
            <w:pPr>
              <w:pStyle w:val="Paraststmeklis"/>
              <w:ind w:right="71"/>
              <w:jc w:val="right"/>
              <w:rPr>
                <w:rFonts w:cs="Tahoma"/>
                <w:sz w:val="22"/>
                <w:szCs w:val="22"/>
              </w:rPr>
            </w:pPr>
            <w:r>
              <w:rPr>
                <w:rFonts w:cs="Tahoma"/>
                <w:sz w:val="22"/>
                <w:szCs w:val="22"/>
              </w:rPr>
              <w:t>140</w:t>
            </w:r>
          </w:p>
        </w:tc>
      </w:tr>
      <w:tr w:rsidR="006B0A1F" w:rsidTr="00305E7E">
        <w:tc>
          <w:tcPr>
            <w:tcW w:w="2694" w:type="dxa"/>
            <w:tcBorders>
              <w:top w:val="single" w:sz="4" w:space="0" w:color="auto"/>
              <w:bottom w:val="single" w:sz="12" w:space="0" w:color="auto"/>
            </w:tcBorders>
          </w:tcPr>
          <w:p w:rsidR="006B0A1F" w:rsidRDefault="006B0A1F" w:rsidP="00A83336">
            <w:pPr>
              <w:pStyle w:val="Paraststmeklis"/>
              <w:ind w:right="71"/>
              <w:jc w:val="both"/>
              <w:rPr>
                <w:rFonts w:cs="Tahoma"/>
                <w:sz w:val="22"/>
                <w:szCs w:val="22"/>
              </w:rPr>
            </w:pPr>
            <w:r>
              <w:rPr>
                <w:rFonts w:cs="Tahoma"/>
                <w:sz w:val="22"/>
                <w:szCs w:val="22"/>
              </w:rPr>
              <w:t>Uzņēmuma ienākuma nodoklis</w:t>
            </w:r>
          </w:p>
        </w:tc>
        <w:tc>
          <w:tcPr>
            <w:tcW w:w="2125" w:type="dxa"/>
            <w:tcBorders>
              <w:top w:val="single" w:sz="4" w:space="0" w:color="auto"/>
              <w:bottom w:val="single" w:sz="12" w:space="0" w:color="auto"/>
            </w:tcBorders>
          </w:tcPr>
          <w:p w:rsidR="006B0A1F" w:rsidRDefault="00C22DE3" w:rsidP="00C22DE3">
            <w:pPr>
              <w:pStyle w:val="Paraststmeklis"/>
              <w:ind w:right="71"/>
              <w:jc w:val="right"/>
              <w:rPr>
                <w:rFonts w:cs="Tahoma"/>
                <w:sz w:val="22"/>
                <w:szCs w:val="22"/>
              </w:rPr>
            </w:pPr>
            <w:r>
              <w:rPr>
                <w:rFonts w:cs="Tahoma"/>
                <w:sz w:val="22"/>
                <w:szCs w:val="22"/>
              </w:rPr>
              <w:t>0</w:t>
            </w:r>
          </w:p>
        </w:tc>
        <w:tc>
          <w:tcPr>
            <w:tcW w:w="2322" w:type="dxa"/>
            <w:tcBorders>
              <w:top w:val="single" w:sz="4" w:space="0" w:color="auto"/>
              <w:bottom w:val="single" w:sz="12" w:space="0" w:color="auto"/>
            </w:tcBorders>
          </w:tcPr>
          <w:p w:rsidR="006B0A1F" w:rsidRDefault="00C22DE3" w:rsidP="00C22DE3">
            <w:pPr>
              <w:pStyle w:val="Paraststmeklis"/>
              <w:ind w:right="71"/>
              <w:jc w:val="right"/>
              <w:rPr>
                <w:rFonts w:cs="Tahoma"/>
                <w:sz w:val="22"/>
                <w:szCs w:val="22"/>
              </w:rPr>
            </w:pPr>
            <w:r>
              <w:rPr>
                <w:rFonts w:cs="Tahoma"/>
                <w:sz w:val="22"/>
                <w:szCs w:val="22"/>
              </w:rPr>
              <w:t>0</w:t>
            </w:r>
          </w:p>
        </w:tc>
        <w:tc>
          <w:tcPr>
            <w:tcW w:w="2322" w:type="dxa"/>
            <w:tcBorders>
              <w:top w:val="single" w:sz="4" w:space="0" w:color="auto"/>
              <w:bottom w:val="single" w:sz="12" w:space="0" w:color="auto"/>
            </w:tcBorders>
          </w:tcPr>
          <w:p w:rsidR="006B0A1F" w:rsidRDefault="00C22DE3" w:rsidP="00C22DE3">
            <w:pPr>
              <w:pStyle w:val="Paraststmeklis"/>
              <w:ind w:right="71"/>
              <w:jc w:val="right"/>
              <w:rPr>
                <w:rFonts w:cs="Tahoma"/>
                <w:sz w:val="22"/>
                <w:szCs w:val="22"/>
              </w:rPr>
            </w:pPr>
            <w:r>
              <w:rPr>
                <w:rFonts w:cs="Tahoma"/>
                <w:sz w:val="22"/>
                <w:szCs w:val="22"/>
              </w:rPr>
              <w:t>0</w:t>
            </w:r>
          </w:p>
        </w:tc>
      </w:tr>
      <w:tr w:rsidR="006B0A1F" w:rsidTr="00305E7E">
        <w:tc>
          <w:tcPr>
            <w:tcW w:w="2694" w:type="dxa"/>
            <w:tcBorders>
              <w:top w:val="single" w:sz="12" w:space="0" w:color="auto"/>
              <w:left w:val="single" w:sz="12" w:space="0" w:color="auto"/>
              <w:bottom w:val="single" w:sz="12" w:space="0" w:color="auto"/>
              <w:right w:val="single" w:sz="8" w:space="0" w:color="auto"/>
            </w:tcBorders>
          </w:tcPr>
          <w:p w:rsidR="006B0A1F" w:rsidRPr="006B0A1F" w:rsidRDefault="006B0A1F" w:rsidP="006B0A1F">
            <w:pPr>
              <w:pStyle w:val="Paraststmeklis"/>
              <w:ind w:right="71"/>
              <w:jc w:val="center"/>
              <w:rPr>
                <w:rFonts w:cs="Tahoma"/>
                <w:b/>
                <w:sz w:val="22"/>
                <w:szCs w:val="22"/>
              </w:rPr>
            </w:pPr>
            <w:r w:rsidRPr="006B0A1F">
              <w:rPr>
                <w:rFonts w:cs="Tahoma"/>
                <w:b/>
                <w:sz w:val="22"/>
                <w:szCs w:val="22"/>
              </w:rPr>
              <w:t>KOPĀ</w:t>
            </w:r>
          </w:p>
        </w:tc>
        <w:tc>
          <w:tcPr>
            <w:tcW w:w="2125" w:type="dxa"/>
            <w:tcBorders>
              <w:top w:val="single" w:sz="12" w:space="0" w:color="auto"/>
              <w:left w:val="single" w:sz="8" w:space="0" w:color="auto"/>
              <w:bottom w:val="single" w:sz="12" w:space="0" w:color="auto"/>
              <w:right w:val="single" w:sz="8" w:space="0" w:color="auto"/>
            </w:tcBorders>
          </w:tcPr>
          <w:p w:rsidR="006B0A1F" w:rsidRPr="006B0A1F" w:rsidRDefault="00C22DE3" w:rsidP="00C22DE3">
            <w:pPr>
              <w:pStyle w:val="Paraststmeklis"/>
              <w:ind w:right="71"/>
              <w:jc w:val="right"/>
              <w:rPr>
                <w:rFonts w:cs="Tahoma"/>
                <w:b/>
                <w:sz w:val="22"/>
                <w:szCs w:val="22"/>
              </w:rPr>
            </w:pPr>
            <w:r>
              <w:rPr>
                <w:rFonts w:cs="Tahoma"/>
                <w:b/>
                <w:sz w:val="22"/>
                <w:szCs w:val="22"/>
              </w:rPr>
              <w:t>214 840</w:t>
            </w:r>
          </w:p>
        </w:tc>
        <w:tc>
          <w:tcPr>
            <w:tcW w:w="2322" w:type="dxa"/>
            <w:tcBorders>
              <w:top w:val="single" w:sz="12" w:space="0" w:color="auto"/>
              <w:left w:val="single" w:sz="8" w:space="0" w:color="auto"/>
              <w:bottom w:val="single" w:sz="12" w:space="0" w:color="auto"/>
              <w:right w:val="single" w:sz="8" w:space="0" w:color="auto"/>
            </w:tcBorders>
          </w:tcPr>
          <w:p w:rsidR="006B0A1F" w:rsidRPr="006B0A1F" w:rsidRDefault="00C22DE3" w:rsidP="00C22DE3">
            <w:pPr>
              <w:pStyle w:val="Paraststmeklis"/>
              <w:ind w:right="71"/>
              <w:jc w:val="right"/>
              <w:rPr>
                <w:rFonts w:cs="Tahoma"/>
                <w:b/>
                <w:sz w:val="22"/>
                <w:szCs w:val="22"/>
              </w:rPr>
            </w:pPr>
            <w:r>
              <w:rPr>
                <w:rFonts w:cs="Tahoma"/>
                <w:b/>
                <w:sz w:val="22"/>
                <w:szCs w:val="22"/>
              </w:rPr>
              <w:t>226 039</w:t>
            </w:r>
          </w:p>
        </w:tc>
        <w:tc>
          <w:tcPr>
            <w:tcW w:w="2322" w:type="dxa"/>
            <w:tcBorders>
              <w:top w:val="single" w:sz="12" w:space="0" w:color="auto"/>
              <w:left w:val="single" w:sz="8" w:space="0" w:color="auto"/>
              <w:bottom w:val="single" w:sz="12" w:space="0" w:color="auto"/>
              <w:right w:val="single" w:sz="12" w:space="0" w:color="auto"/>
            </w:tcBorders>
          </w:tcPr>
          <w:p w:rsidR="006B0A1F" w:rsidRPr="006B0A1F" w:rsidRDefault="00C22DE3" w:rsidP="00C22DE3">
            <w:pPr>
              <w:pStyle w:val="Paraststmeklis"/>
              <w:ind w:right="71"/>
              <w:jc w:val="right"/>
              <w:rPr>
                <w:rFonts w:cs="Tahoma"/>
                <w:b/>
                <w:sz w:val="22"/>
                <w:szCs w:val="22"/>
              </w:rPr>
            </w:pPr>
            <w:r>
              <w:rPr>
                <w:rFonts w:cs="Tahoma"/>
                <w:b/>
                <w:sz w:val="22"/>
                <w:szCs w:val="22"/>
              </w:rPr>
              <w:t>226 305</w:t>
            </w:r>
          </w:p>
        </w:tc>
      </w:tr>
    </w:tbl>
    <w:p w:rsidR="00A83336" w:rsidRDefault="00A83336" w:rsidP="00A83336">
      <w:pPr>
        <w:pStyle w:val="Paraststmeklis"/>
        <w:ind w:right="71"/>
        <w:jc w:val="both"/>
        <w:rPr>
          <w:rFonts w:cs="Tahoma"/>
          <w:b/>
          <w:sz w:val="22"/>
          <w:szCs w:val="22"/>
        </w:rPr>
      </w:pPr>
    </w:p>
    <w:p w:rsidR="008B7ED5" w:rsidRDefault="008B7ED5" w:rsidP="00A83336">
      <w:pPr>
        <w:pStyle w:val="Paraststmeklis"/>
        <w:ind w:right="71"/>
        <w:jc w:val="both"/>
        <w:rPr>
          <w:rFonts w:cs="Tahoma"/>
          <w:b/>
          <w:sz w:val="22"/>
          <w:szCs w:val="22"/>
        </w:rPr>
      </w:pPr>
    </w:p>
    <w:p w:rsidR="008B7ED5" w:rsidRDefault="008B7ED5" w:rsidP="00A83336">
      <w:pPr>
        <w:pStyle w:val="Paraststmeklis"/>
        <w:ind w:right="71"/>
        <w:jc w:val="both"/>
        <w:rPr>
          <w:rFonts w:cs="Tahoma"/>
          <w:b/>
          <w:sz w:val="22"/>
          <w:szCs w:val="22"/>
        </w:rPr>
      </w:pPr>
    </w:p>
    <w:p w:rsidR="008B7ED5" w:rsidRPr="00A83336" w:rsidRDefault="008B7ED5" w:rsidP="00A83336">
      <w:pPr>
        <w:pStyle w:val="Paraststmeklis"/>
        <w:ind w:right="71"/>
        <w:jc w:val="both"/>
        <w:rPr>
          <w:rFonts w:cs="Tahoma"/>
          <w:b/>
          <w:sz w:val="22"/>
          <w:szCs w:val="22"/>
        </w:rPr>
      </w:pPr>
    </w:p>
    <w:p w:rsidR="00472B14" w:rsidRDefault="0029428B" w:rsidP="00491055">
      <w:pPr>
        <w:pStyle w:val="Paraststmeklis"/>
        <w:ind w:right="71"/>
        <w:jc w:val="both"/>
        <w:rPr>
          <w:noProof/>
        </w:rPr>
      </w:pPr>
      <w:r w:rsidRPr="0029428B">
        <w:rPr>
          <w:noProof/>
        </w:rPr>
        <w:drawing>
          <wp:inline distT="0" distB="0" distL="0" distR="0">
            <wp:extent cx="5762625" cy="3810000"/>
            <wp:effectExtent l="1905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52D4" w:rsidRDefault="002752D4" w:rsidP="00491055">
      <w:pPr>
        <w:pStyle w:val="Paraststmeklis"/>
        <w:ind w:right="71"/>
        <w:jc w:val="both"/>
        <w:rPr>
          <w:rFonts w:cs="Tahoma"/>
        </w:rPr>
      </w:pPr>
    </w:p>
    <w:p w:rsidR="008B7ED5" w:rsidRDefault="008B7ED5">
      <w:pPr>
        <w:rPr>
          <w:rFonts w:cs="Tahoma"/>
          <w:lang w:eastAsia="lv-LV"/>
        </w:rPr>
      </w:pPr>
      <w:r>
        <w:rPr>
          <w:rFonts w:cs="Tahoma"/>
        </w:rPr>
        <w:br w:type="page"/>
      </w:r>
    </w:p>
    <w:p w:rsidR="008922BA" w:rsidRDefault="008922BA" w:rsidP="00491055">
      <w:pPr>
        <w:pStyle w:val="Paraststmeklis"/>
        <w:ind w:right="71"/>
        <w:jc w:val="both"/>
        <w:rPr>
          <w:rFonts w:cs="Tahoma"/>
        </w:rPr>
      </w:pPr>
    </w:p>
    <w:p w:rsidR="008922BA" w:rsidRDefault="008922BA" w:rsidP="00491055">
      <w:pPr>
        <w:pStyle w:val="Paraststmeklis"/>
        <w:ind w:right="71"/>
        <w:jc w:val="both"/>
        <w:rPr>
          <w:rFonts w:cs="Tahoma"/>
        </w:rPr>
      </w:pPr>
    </w:p>
    <w:p w:rsidR="00491055" w:rsidRPr="008D0613" w:rsidRDefault="0078137D" w:rsidP="008D0613">
      <w:pPr>
        <w:pStyle w:val="Virsraksts1"/>
      </w:pPr>
      <w:bookmarkStart w:id="18" w:name="_Toc498420730"/>
      <w:r w:rsidRPr="008D0613">
        <w:t>Pielikum</w:t>
      </w:r>
      <w:r w:rsidR="00460AEC" w:rsidRPr="008D0613">
        <w:t>i</w:t>
      </w:r>
      <w:bookmarkEnd w:id="18"/>
    </w:p>
    <w:p w:rsidR="00E61D82" w:rsidRDefault="00E61D82" w:rsidP="00491055">
      <w:pPr>
        <w:pStyle w:val="Paraststmeklis"/>
        <w:ind w:right="71"/>
        <w:jc w:val="both"/>
        <w:rPr>
          <w:rFonts w:cs="Tahoma"/>
        </w:rPr>
      </w:pPr>
    </w:p>
    <w:p w:rsidR="00EB4914" w:rsidRDefault="00491055" w:rsidP="00491055">
      <w:pPr>
        <w:pStyle w:val="Paraststmeklis"/>
        <w:ind w:right="71"/>
        <w:jc w:val="both"/>
        <w:rPr>
          <w:rFonts w:cs="Tahoma"/>
        </w:rPr>
      </w:pPr>
      <w:r>
        <w:rPr>
          <w:rFonts w:cs="Tahoma"/>
        </w:rPr>
        <w:t>Nr.1.</w:t>
      </w:r>
      <w:r w:rsidR="0036189F">
        <w:rPr>
          <w:rFonts w:cs="Tahoma"/>
        </w:rPr>
        <w:tab/>
      </w:r>
      <w:r w:rsidR="001D7706">
        <w:rPr>
          <w:rFonts w:cs="Tahoma"/>
        </w:rPr>
        <w:t>Plānotās bilances aprēķins 2017</w:t>
      </w:r>
      <w:r w:rsidR="00E61D82">
        <w:rPr>
          <w:rFonts w:cs="Tahoma"/>
        </w:rPr>
        <w:t>. – 201</w:t>
      </w:r>
      <w:r w:rsidR="001D7706">
        <w:rPr>
          <w:rFonts w:cs="Tahoma"/>
        </w:rPr>
        <w:t>9</w:t>
      </w:r>
      <w:r w:rsidR="00E61D82">
        <w:rPr>
          <w:rFonts w:cs="Tahoma"/>
        </w:rPr>
        <w:t xml:space="preserve">.gadam </w:t>
      </w:r>
      <w:r>
        <w:rPr>
          <w:rFonts w:cs="Tahoma"/>
        </w:rPr>
        <w:t>uz 1 lpp.</w:t>
      </w:r>
    </w:p>
    <w:p w:rsidR="00491055" w:rsidRDefault="00EB4914" w:rsidP="00491055">
      <w:pPr>
        <w:pStyle w:val="Paraststmeklis"/>
        <w:ind w:right="71"/>
        <w:jc w:val="both"/>
        <w:rPr>
          <w:rFonts w:cs="Tahoma"/>
        </w:rPr>
      </w:pPr>
      <w:r>
        <w:rPr>
          <w:rFonts w:cs="Tahoma"/>
        </w:rPr>
        <w:t>N</w:t>
      </w:r>
      <w:r w:rsidR="00491055">
        <w:rPr>
          <w:rFonts w:cs="Tahoma"/>
        </w:rPr>
        <w:t>r.2.</w:t>
      </w:r>
      <w:r w:rsidR="00491055">
        <w:rPr>
          <w:rFonts w:cs="Tahoma"/>
        </w:rPr>
        <w:tab/>
      </w:r>
      <w:r w:rsidR="00E61D82">
        <w:rPr>
          <w:rFonts w:cs="Tahoma"/>
        </w:rPr>
        <w:t>Plānotās peļņas vai zaudējumu aprēķins 201</w:t>
      </w:r>
      <w:r w:rsidR="001D7706">
        <w:rPr>
          <w:rFonts w:cs="Tahoma"/>
        </w:rPr>
        <w:t>7. – 2019</w:t>
      </w:r>
      <w:r w:rsidR="00E61D82">
        <w:rPr>
          <w:rFonts w:cs="Tahoma"/>
        </w:rPr>
        <w:t>.gadam</w:t>
      </w:r>
      <w:r w:rsidR="00491055">
        <w:rPr>
          <w:rFonts w:cs="Tahoma"/>
        </w:rPr>
        <w:t xml:space="preserve"> uz 1 lpp.</w:t>
      </w:r>
    </w:p>
    <w:p w:rsidR="00164AD5" w:rsidRDefault="00164AD5">
      <w:pPr>
        <w:rPr>
          <w:rFonts w:cs="Tahoma"/>
          <w:lang w:eastAsia="lv-LV"/>
        </w:rPr>
      </w:pPr>
    </w:p>
    <w:p w:rsidR="00CE63EB" w:rsidRDefault="00CE63EB">
      <w:pPr>
        <w:rPr>
          <w:rFonts w:cs="Tahoma"/>
          <w:lang w:eastAsia="lv-LV"/>
        </w:rPr>
      </w:pPr>
    </w:p>
    <w:p w:rsidR="005E448F" w:rsidRDefault="005E448F">
      <w:pPr>
        <w:rPr>
          <w:rFonts w:cs="Tahoma"/>
          <w:lang w:eastAsia="lv-LV"/>
        </w:rPr>
      </w:pPr>
      <w:bookmarkStart w:id="19" w:name="_GoBack"/>
      <w:bookmarkEnd w:id="19"/>
    </w:p>
    <w:p w:rsidR="005E448F" w:rsidRDefault="005E448F">
      <w:pPr>
        <w:rPr>
          <w:rFonts w:cs="Tahoma"/>
          <w:lang w:eastAsia="lv-LV"/>
        </w:rPr>
      </w:pPr>
      <w:r>
        <w:rPr>
          <w:rFonts w:cs="Tahoma"/>
          <w:lang w:eastAsia="lv-LV"/>
        </w:rPr>
        <w:t>Sēdes vadītājs,</w:t>
      </w:r>
    </w:p>
    <w:p w:rsidR="005E448F" w:rsidRDefault="005E448F">
      <w:pPr>
        <w:rPr>
          <w:rFonts w:cs="Tahoma"/>
          <w:lang w:eastAsia="lv-LV"/>
        </w:rPr>
      </w:pPr>
      <w:r>
        <w:rPr>
          <w:rFonts w:cs="Tahoma"/>
          <w:lang w:eastAsia="lv-LV"/>
        </w:rPr>
        <w:t>Domes priekšsēdētājs ( personiskais paraksts)</w:t>
      </w:r>
      <w:r>
        <w:rPr>
          <w:rFonts w:cs="Tahoma"/>
          <w:lang w:eastAsia="lv-LV"/>
        </w:rPr>
        <w:tab/>
      </w:r>
      <w:r>
        <w:rPr>
          <w:rFonts w:cs="Tahoma"/>
          <w:lang w:eastAsia="lv-LV"/>
        </w:rPr>
        <w:tab/>
      </w:r>
      <w:r>
        <w:rPr>
          <w:rFonts w:cs="Tahoma"/>
          <w:lang w:eastAsia="lv-LV"/>
        </w:rPr>
        <w:tab/>
      </w:r>
      <w:r>
        <w:rPr>
          <w:rFonts w:cs="Tahoma"/>
          <w:lang w:eastAsia="lv-LV"/>
        </w:rPr>
        <w:tab/>
      </w:r>
      <w:proofErr w:type="spellStart"/>
      <w:r>
        <w:rPr>
          <w:rFonts w:cs="Tahoma"/>
          <w:lang w:eastAsia="lv-LV"/>
        </w:rPr>
        <w:t>D.Vingris</w:t>
      </w:r>
      <w:proofErr w:type="spellEnd"/>
    </w:p>
    <w:p w:rsidR="005E448F" w:rsidRDefault="005E448F">
      <w:pPr>
        <w:rPr>
          <w:rFonts w:cs="Tahoma"/>
          <w:lang w:eastAsia="lv-LV"/>
        </w:rPr>
      </w:pPr>
    </w:p>
    <w:p w:rsidR="005E448F" w:rsidRDefault="005E448F">
      <w:pPr>
        <w:rPr>
          <w:rFonts w:cs="Tahoma"/>
          <w:lang w:eastAsia="lv-LV"/>
        </w:rPr>
      </w:pPr>
      <w:r>
        <w:rPr>
          <w:rFonts w:cs="Tahoma"/>
          <w:lang w:eastAsia="lv-LV"/>
        </w:rPr>
        <w:t>NORAKSTS PAREIZS</w:t>
      </w:r>
    </w:p>
    <w:p w:rsidR="005E448F" w:rsidRDefault="005E448F">
      <w:pPr>
        <w:rPr>
          <w:rFonts w:cs="Tahoma"/>
          <w:lang w:eastAsia="lv-LV"/>
        </w:rPr>
      </w:pPr>
      <w:r>
        <w:rPr>
          <w:rFonts w:cs="Tahoma"/>
          <w:lang w:eastAsia="lv-LV"/>
        </w:rPr>
        <w:t>Kokneses novada domes sekretāre</w:t>
      </w:r>
      <w:r>
        <w:rPr>
          <w:rFonts w:cs="Tahoma"/>
          <w:lang w:eastAsia="lv-LV"/>
        </w:rPr>
        <w:tab/>
      </w:r>
      <w:r>
        <w:rPr>
          <w:rFonts w:cs="Tahoma"/>
          <w:lang w:eastAsia="lv-LV"/>
        </w:rPr>
        <w:tab/>
      </w:r>
      <w:r>
        <w:rPr>
          <w:rFonts w:cs="Tahoma"/>
          <w:lang w:eastAsia="lv-LV"/>
        </w:rPr>
        <w:tab/>
      </w:r>
      <w:r>
        <w:rPr>
          <w:rFonts w:cs="Tahoma"/>
          <w:lang w:eastAsia="lv-LV"/>
        </w:rPr>
        <w:tab/>
      </w:r>
      <w:r>
        <w:rPr>
          <w:rFonts w:cs="Tahoma"/>
          <w:lang w:eastAsia="lv-LV"/>
        </w:rPr>
        <w:tab/>
      </w:r>
      <w:r>
        <w:rPr>
          <w:rFonts w:cs="Tahoma"/>
          <w:lang w:eastAsia="lv-LV"/>
        </w:rPr>
        <w:tab/>
      </w:r>
      <w:proofErr w:type="spellStart"/>
      <w:r>
        <w:rPr>
          <w:rFonts w:cs="Tahoma"/>
          <w:lang w:eastAsia="lv-LV"/>
        </w:rPr>
        <w:t>Dz.Krišāne</w:t>
      </w:r>
      <w:proofErr w:type="spellEnd"/>
    </w:p>
    <w:p w:rsidR="005E448F" w:rsidRDefault="005E448F">
      <w:pPr>
        <w:rPr>
          <w:rFonts w:cs="Tahoma"/>
          <w:lang w:eastAsia="lv-LV"/>
        </w:rPr>
      </w:pPr>
      <w:r>
        <w:rPr>
          <w:rFonts w:cs="Tahoma"/>
          <w:lang w:eastAsia="lv-LV"/>
        </w:rPr>
        <w:t>04.12.2017.</w:t>
      </w:r>
    </w:p>
    <w:sectPr w:rsidR="005E448F" w:rsidSect="008073A1">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7F9" w:rsidRDefault="00FE57F9">
      <w:r>
        <w:separator/>
      </w:r>
    </w:p>
  </w:endnote>
  <w:endnote w:type="continuationSeparator" w:id="0">
    <w:p w:rsidR="00FE57F9" w:rsidRDefault="00FE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19493"/>
      <w:docPartObj>
        <w:docPartGallery w:val="Page Numbers (Bottom of Page)"/>
        <w:docPartUnique/>
      </w:docPartObj>
    </w:sdtPr>
    <w:sdtEndPr/>
    <w:sdtContent>
      <w:p w:rsidR="008073A1" w:rsidRDefault="004661DE">
        <w:pPr>
          <w:pStyle w:val="Kjene"/>
          <w:jc w:val="center"/>
        </w:pPr>
        <w:r>
          <w:fldChar w:fldCharType="begin"/>
        </w:r>
        <w:r>
          <w:instrText xml:space="preserve"> PAGE   \* MERGEFORMAT </w:instrText>
        </w:r>
        <w:r>
          <w:fldChar w:fldCharType="separate"/>
        </w:r>
        <w:r w:rsidR="005E448F">
          <w:rPr>
            <w:noProof/>
          </w:rPr>
          <w:t>11</w:t>
        </w:r>
        <w:r>
          <w:rPr>
            <w:noProof/>
          </w:rPr>
          <w:fldChar w:fldCharType="end"/>
        </w:r>
      </w:p>
    </w:sdtContent>
  </w:sdt>
  <w:p w:rsidR="008D0613" w:rsidRDefault="008D061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3A1" w:rsidRDefault="008073A1">
    <w:pPr>
      <w:pStyle w:val="Kjene"/>
      <w:jc w:val="center"/>
    </w:pPr>
  </w:p>
  <w:p w:rsidR="008D0613" w:rsidRDefault="008D061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7F9" w:rsidRDefault="00FE57F9">
      <w:r>
        <w:separator/>
      </w:r>
    </w:p>
  </w:footnote>
  <w:footnote w:type="continuationSeparator" w:id="0">
    <w:p w:rsidR="00FE57F9" w:rsidRDefault="00FE5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86C"/>
    <w:multiLevelType w:val="hybridMultilevel"/>
    <w:tmpl w:val="B8C874E8"/>
    <w:lvl w:ilvl="0" w:tplc="0426000D">
      <w:start w:val="1"/>
      <w:numFmt w:val="bullet"/>
      <w:lvlText w:val=""/>
      <w:lvlJc w:val="left"/>
      <w:pPr>
        <w:tabs>
          <w:tab w:val="num" w:pos="644"/>
        </w:tabs>
        <w:ind w:left="644" w:hanging="360"/>
      </w:pPr>
      <w:rPr>
        <w:rFonts w:ascii="Wingdings" w:hAnsi="Wingdings"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7987722"/>
    <w:multiLevelType w:val="hybridMultilevel"/>
    <w:tmpl w:val="8D4E672E"/>
    <w:lvl w:ilvl="0" w:tplc="04260011">
      <w:start w:val="1"/>
      <w:numFmt w:val="decimal"/>
      <w:lvlText w:val="%1)"/>
      <w:lvlJc w:val="left"/>
      <w:pPr>
        <w:ind w:left="720" w:hanging="360"/>
      </w:pPr>
      <w:rPr>
        <w:rFonts w:hint="default"/>
      </w:rPr>
    </w:lvl>
    <w:lvl w:ilvl="1" w:tplc="DE864B18">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7F68FF"/>
    <w:multiLevelType w:val="hybridMultilevel"/>
    <w:tmpl w:val="7640FAB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17BCD"/>
    <w:multiLevelType w:val="hybridMultilevel"/>
    <w:tmpl w:val="5E8466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6B5E05"/>
    <w:multiLevelType w:val="hybridMultilevel"/>
    <w:tmpl w:val="7BE44E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B27A14"/>
    <w:multiLevelType w:val="hybridMultilevel"/>
    <w:tmpl w:val="606EAF82"/>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16E05023"/>
    <w:multiLevelType w:val="hybridMultilevel"/>
    <w:tmpl w:val="0BD400D8"/>
    <w:lvl w:ilvl="0" w:tplc="1068C678">
      <w:start w:val="1"/>
      <w:numFmt w:val="bullet"/>
      <w:lvlText w:val=""/>
      <w:lvlJc w:val="left"/>
      <w:pPr>
        <w:tabs>
          <w:tab w:val="num" w:pos="1417"/>
        </w:tabs>
        <w:ind w:left="141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83CB1"/>
    <w:multiLevelType w:val="hybridMultilevel"/>
    <w:tmpl w:val="7C5E8F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D4563A"/>
    <w:multiLevelType w:val="hybridMultilevel"/>
    <w:tmpl w:val="75C0CBF2"/>
    <w:lvl w:ilvl="0" w:tplc="67DCFAF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935BCA"/>
    <w:multiLevelType w:val="hybridMultilevel"/>
    <w:tmpl w:val="51F0F4F8"/>
    <w:lvl w:ilvl="0" w:tplc="0426000D">
      <w:start w:val="1"/>
      <w:numFmt w:val="bullet"/>
      <w:lvlText w:val=""/>
      <w:lvlJc w:val="left"/>
      <w:pPr>
        <w:ind w:left="1233" w:hanging="360"/>
      </w:pPr>
      <w:rPr>
        <w:rFonts w:ascii="Wingdings" w:hAnsi="Wingdings" w:hint="default"/>
      </w:rPr>
    </w:lvl>
    <w:lvl w:ilvl="1" w:tplc="04260003">
      <w:start w:val="1"/>
      <w:numFmt w:val="bullet"/>
      <w:lvlText w:val="o"/>
      <w:lvlJc w:val="left"/>
      <w:pPr>
        <w:ind w:left="1953" w:hanging="360"/>
      </w:pPr>
      <w:rPr>
        <w:rFonts w:ascii="Courier New" w:hAnsi="Courier New" w:cs="Courier New" w:hint="default"/>
      </w:rPr>
    </w:lvl>
    <w:lvl w:ilvl="2" w:tplc="04260005" w:tentative="1">
      <w:start w:val="1"/>
      <w:numFmt w:val="bullet"/>
      <w:lvlText w:val=""/>
      <w:lvlJc w:val="left"/>
      <w:pPr>
        <w:ind w:left="2673" w:hanging="360"/>
      </w:pPr>
      <w:rPr>
        <w:rFonts w:ascii="Wingdings" w:hAnsi="Wingdings" w:hint="default"/>
      </w:rPr>
    </w:lvl>
    <w:lvl w:ilvl="3" w:tplc="04260001" w:tentative="1">
      <w:start w:val="1"/>
      <w:numFmt w:val="bullet"/>
      <w:lvlText w:val=""/>
      <w:lvlJc w:val="left"/>
      <w:pPr>
        <w:ind w:left="3393" w:hanging="360"/>
      </w:pPr>
      <w:rPr>
        <w:rFonts w:ascii="Symbol" w:hAnsi="Symbol" w:hint="default"/>
      </w:rPr>
    </w:lvl>
    <w:lvl w:ilvl="4" w:tplc="04260003" w:tentative="1">
      <w:start w:val="1"/>
      <w:numFmt w:val="bullet"/>
      <w:lvlText w:val="o"/>
      <w:lvlJc w:val="left"/>
      <w:pPr>
        <w:ind w:left="4113" w:hanging="360"/>
      </w:pPr>
      <w:rPr>
        <w:rFonts w:ascii="Courier New" w:hAnsi="Courier New" w:cs="Courier New" w:hint="default"/>
      </w:rPr>
    </w:lvl>
    <w:lvl w:ilvl="5" w:tplc="04260005" w:tentative="1">
      <w:start w:val="1"/>
      <w:numFmt w:val="bullet"/>
      <w:lvlText w:val=""/>
      <w:lvlJc w:val="left"/>
      <w:pPr>
        <w:ind w:left="4833" w:hanging="360"/>
      </w:pPr>
      <w:rPr>
        <w:rFonts w:ascii="Wingdings" w:hAnsi="Wingdings" w:hint="default"/>
      </w:rPr>
    </w:lvl>
    <w:lvl w:ilvl="6" w:tplc="04260001" w:tentative="1">
      <w:start w:val="1"/>
      <w:numFmt w:val="bullet"/>
      <w:lvlText w:val=""/>
      <w:lvlJc w:val="left"/>
      <w:pPr>
        <w:ind w:left="5553" w:hanging="360"/>
      </w:pPr>
      <w:rPr>
        <w:rFonts w:ascii="Symbol" w:hAnsi="Symbol" w:hint="default"/>
      </w:rPr>
    </w:lvl>
    <w:lvl w:ilvl="7" w:tplc="04260003" w:tentative="1">
      <w:start w:val="1"/>
      <w:numFmt w:val="bullet"/>
      <w:lvlText w:val="o"/>
      <w:lvlJc w:val="left"/>
      <w:pPr>
        <w:ind w:left="6273" w:hanging="360"/>
      </w:pPr>
      <w:rPr>
        <w:rFonts w:ascii="Courier New" w:hAnsi="Courier New" w:cs="Courier New" w:hint="default"/>
      </w:rPr>
    </w:lvl>
    <w:lvl w:ilvl="8" w:tplc="04260005" w:tentative="1">
      <w:start w:val="1"/>
      <w:numFmt w:val="bullet"/>
      <w:lvlText w:val=""/>
      <w:lvlJc w:val="left"/>
      <w:pPr>
        <w:ind w:left="6993" w:hanging="360"/>
      </w:pPr>
      <w:rPr>
        <w:rFonts w:ascii="Wingdings" w:hAnsi="Wingdings" w:hint="default"/>
      </w:rPr>
    </w:lvl>
  </w:abstractNum>
  <w:abstractNum w:abstractNumId="10" w15:restartNumberingAfterBreak="0">
    <w:nsid w:val="297E0514"/>
    <w:multiLevelType w:val="multilevel"/>
    <w:tmpl w:val="4C00F26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B6E580C"/>
    <w:multiLevelType w:val="multilevel"/>
    <w:tmpl w:val="E34EED74"/>
    <w:lvl w:ilvl="0">
      <w:start w:val="1"/>
      <w:numFmt w:val="decimal"/>
      <w:lvlText w:val="%1."/>
      <w:lvlJc w:val="left"/>
      <w:pPr>
        <w:tabs>
          <w:tab w:val="num" w:pos="924"/>
        </w:tabs>
        <w:ind w:left="0" w:firstLine="567"/>
      </w:pPr>
      <w:rPr>
        <w:rFonts w:hint="default"/>
        <w:strike w:val="0"/>
        <w:color w:val="auto"/>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2" w15:restartNumberingAfterBreak="0">
    <w:nsid w:val="347350AD"/>
    <w:multiLevelType w:val="hybridMultilevel"/>
    <w:tmpl w:val="19E4A146"/>
    <w:lvl w:ilvl="0" w:tplc="48CAE7AC">
      <w:start w:val="1"/>
      <w:numFmt w:val="bullet"/>
      <w:lvlText w:val=""/>
      <w:lvlJc w:val="left"/>
      <w:pPr>
        <w:tabs>
          <w:tab w:val="num" w:pos="927"/>
        </w:tabs>
        <w:ind w:left="851" w:hanging="284"/>
      </w:pPr>
      <w:rPr>
        <w:rFonts w:ascii="Wingdings" w:hAnsi="Wingdings" w:hint="default"/>
      </w:rPr>
    </w:lvl>
    <w:lvl w:ilvl="1" w:tplc="644EA400">
      <w:start w:val="1"/>
      <w:numFmt w:val="bullet"/>
      <w:lvlText w:val=""/>
      <w:lvlJc w:val="left"/>
      <w:pPr>
        <w:tabs>
          <w:tab w:val="num" w:pos="1494"/>
        </w:tabs>
        <w:ind w:left="1474" w:hanging="340"/>
      </w:pPr>
      <w:rPr>
        <w:rFonts w:ascii="Wingdings" w:hAnsi="Wingdings"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367261DA"/>
    <w:multiLevelType w:val="hybridMultilevel"/>
    <w:tmpl w:val="A3DA5E44"/>
    <w:lvl w:ilvl="0" w:tplc="571C30C6">
      <w:start w:val="1"/>
      <w:numFmt w:val="decimal"/>
      <w:lvlText w:val="%1."/>
      <w:lvlJc w:val="left"/>
      <w:pPr>
        <w:tabs>
          <w:tab w:val="num" w:pos="924"/>
        </w:tabs>
        <w:ind w:left="0" w:firstLine="567"/>
      </w:pPr>
      <w:rPr>
        <w:rFonts w:hint="default"/>
        <w:strike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08746A"/>
    <w:multiLevelType w:val="hybridMultilevel"/>
    <w:tmpl w:val="ED08E4EE"/>
    <w:lvl w:ilvl="0" w:tplc="A0A2E510">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399F5231"/>
    <w:multiLevelType w:val="hybridMultilevel"/>
    <w:tmpl w:val="F2148BBA"/>
    <w:lvl w:ilvl="0" w:tplc="0426000D">
      <w:start w:val="1"/>
      <w:numFmt w:val="bullet"/>
      <w:lvlText w:val=""/>
      <w:lvlJc w:val="left"/>
      <w:pPr>
        <w:ind w:left="1233" w:hanging="360"/>
      </w:pPr>
      <w:rPr>
        <w:rFonts w:ascii="Wingdings" w:hAnsi="Wingdings" w:hint="default"/>
      </w:rPr>
    </w:lvl>
    <w:lvl w:ilvl="1" w:tplc="04260003" w:tentative="1">
      <w:start w:val="1"/>
      <w:numFmt w:val="bullet"/>
      <w:lvlText w:val="o"/>
      <w:lvlJc w:val="left"/>
      <w:pPr>
        <w:ind w:left="1953" w:hanging="360"/>
      </w:pPr>
      <w:rPr>
        <w:rFonts w:ascii="Courier New" w:hAnsi="Courier New" w:cs="Courier New" w:hint="default"/>
      </w:rPr>
    </w:lvl>
    <w:lvl w:ilvl="2" w:tplc="04260005" w:tentative="1">
      <w:start w:val="1"/>
      <w:numFmt w:val="bullet"/>
      <w:lvlText w:val=""/>
      <w:lvlJc w:val="left"/>
      <w:pPr>
        <w:ind w:left="2673" w:hanging="360"/>
      </w:pPr>
      <w:rPr>
        <w:rFonts w:ascii="Wingdings" w:hAnsi="Wingdings" w:hint="default"/>
      </w:rPr>
    </w:lvl>
    <w:lvl w:ilvl="3" w:tplc="04260001" w:tentative="1">
      <w:start w:val="1"/>
      <w:numFmt w:val="bullet"/>
      <w:lvlText w:val=""/>
      <w:lvlJc w:val="left"/>
      <w:pPr>
        <w:ind w:left="3393" w:hanging="360"/>
      </w:pPr>
      <w:rPr>
        <w:rFonts w:ascii="Symbol" w:hAnsi="Symbol" w:hint="default"/>
      </w:rPr>
    </w:lvl>
    <w:lvl w:ilvl="4" w:tplc="04260003" w:tentative="1">
      <w:start w:val="1"/>
      <w:numFmt w:val="bullet"/>
      <w:lvlText w:val="o"/>
      <w:lvlJc w:val="left"/>
      <w:pPr>
        <w:ind w:left="4113" w:hanging="360"/>
      </w:pPr>
      <w:rPr>
        <w:rFonts w:ascii="Courier New" w:hAnsi="Courier New" w:cs="Courier New" w:hint="default"/>
      </w:rPr>
    </w:lvl>
    <w:lvl w:ilvl="5" w:tplc="04260005" w:tentative="1">
      <w:start w:val="1"/>
      <w:numFmt w:val="bullet"/>
      <w:lvlText w:val=""/>
      <w:lvlJc w:val="left"/>
      <w:pPr>
        <w:ind w:left="4833" w:hanging="360"/>
      </w:pPr>
      <w:rPr>
        <w:rFonts w:ascii="Wingdings" w:hAnsi="Wingdings" w:hint="default"/>
      </w:rPr>
    </w:lvl>
    <w:lvl w:ilvl="6" w:tplc="04260001" w:tentative="1">
      <w:start w:val="1"/>
      <w:numFmt w:val="bullet"/>
      <w:lvlText w:val=""/>
      <w:lvlJc w:val="left"/>
      <w:pPr>
        <w:ind w:left="5553" w:hanging="360"/>
      </w:pPr>
      <w:rPr>
        <w:rFonts w:ascii="Symbol" w:hAnsi="Symbol" w:hint="default"/>
      </w:rPr>
    </w:lvl>
    <w:lvl w:ilvl="7" w:tplc="04260003" w:tentative="1">
      <w:start w:val="1"/>
      <w:numFmt w:val="bullet"/>
      <w:lvlText w:val="o"/>
      <w:lvlJc w:val="left"/>
      <w:pPr>
        <w:ind w:left="6273" w:hanging="360"/>
      </w:pPr>
      <w:rPr>
        <w:rFonts w:ascii="Courier New" w:hAnsi="Courier New" w:cs="Courier New" w:hint="default"/>
      </w:rPr>
    </w:lvl>
    <w:lvl w:ilvl="8" w:tplc="04260005" w:tentative="1">
      <w:start w:val="1"/>
      <w:numFmt w:val="bullet"/>
      <w:lvlText w:val=""/>
      <w:lvlJc w:val="left"/>
      <w:pPr>
        <w:ind w:left="6993" w:hanging="360"/>
      </w:pPr>
      <w:rPr>
        <w:rFonts w:ascii="Wingdings" w:hAnsi="Wingdings" w:hint="default"/>
      </w:rPr>
    </w:lvl>
  </w:abstractNum>
  <w:abstractNum w:abstractNumId="16" w15:restartNumberingAfterBreak="0">
    <w:nsid w:val="39BB6A7C"/>
    <w:multiLevelType w:val="hybridMultilevel"/>
    <w:tmpl w:val="A96C231A"/>
    <w:lvl w:ilvl="0" w:tplc="58D0B130">
      <w:start w:val="1"/>
      <w:numFmt w:val="decimal"/>
      <w:lvlText w:val="%1)"/>
      <w:lvlJc w:val="left"/>
      <w:pPr>
        <w:ind w:left="720" w:hanging="360"/>
      </w:pPr>
      <w:rPr>
        <w:rFonts w:ascii="Arial" w:hAnsi="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515654"/>
    <w:multiLevelType w:val="hybridMultilevel"/>
    <w:tmpl w:val="11925C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519C8"/>
    <w:multiLevelType w:val="hybridMultilevel"/>
    <w:tmpl w:val="9950008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3057AD"/>
    <w:multiLevelType w:val="hybridMultilevel"/>
    <w:tmpl w:val="80D4D0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AC0462"/>
    <w:multiLevelType w:val="hybridMultilevel"/>
    <w:tmpl w:val="C5248594"/>
    <w:lvl w:ilvl="0" w:tplc="E174C234">
      <w:start w:val="1"/>
      <w:numFmt w:val="decimal"/>
      <w:lvlText w:val="%1."/>
      <w:lvlJc w:val="left"/>
      <w:pPr>
        <w:tabs>
          <w:tab w:val="num" w:pos="924"/>
        </w:tabs>
        <w:ind w:left="0" w:firstLine="567"/>
      </w:pPr>
      <w:rPr>
        <w:rFonts w:hint="default"/>
        <w:b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6913EBE"/>
    <w:multiLevelType w:val="hybridMultilevel"/>
    <w:tmpl w:val="F0546A6E"/>
    <w:lvl w:ilvl="0" w:tplc="B6462738">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A941BB3"/>
    <w:multiLevelType w:val="hybridMultilevel"/>
    <w:tmpl w:val="8F1A45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8051BB"/>
    <w:multiLevelType w:val="hybridMultilevel"/>
    <w:tmpl w:val="5022A1D8"/>
    <w:lvl w:ilvl="0" w:tplc="0426000D">
      <w:start w:val="1"/>
      <w:numFmt w:val="bullet"/>
      <w:lvlText w:val=""/>
      <w:lvlJc w:val="left"/>
      <w:pPr>
        <w:ind w:left="1593" w:hanging="360"/>
      </w:pPr>
      <w:rPr>
        <w:rFonts w:ascii="Wingdings" w:hAnsi="Wingdings" w:hint="default"/>
      </w:rPr>
    </w:lvl>
    <w:lvl w:ilvl="1" w:tplc="04260003" w:tentative="1">
      <w:start w:val="1"/>
      <w:numFmt w:val="bullet"/>
      <w:lvlText w:val="o"/>
      <w:lvlJc w:val="left"/>
      <w:pPr>
        <w:ind w:left="2313" w:hanging="360"/>
      </w:pPr>
      <w:rPr>
        <w:rFonts w:ascii="Courier New" w:hAnsi="Courier New" w:cs="Courier New" w:hint="default"/>
      </w:rPr>
    </w:lvl>
    <w:lvl w:ilvl="2" w:tplc="04260005" w:tentative="1">
      <w:start w:val="1"/>
      <w:numFmt w:val="bullet"/>
      <w:lvlText w:val=""/>
      <w:lvlJc w:val="left"/>
      <w:pPr>
        <w:ind w:left="3033" w:hanging="360"/>
      </w:pPr>
      <w:rPr>
        <w:rFonts w:ascii="Wingdings" w:hAnsi="Wingdings" w:hint="default"/>
      </w:rPr>
    </w:lvl>
    <w:lvl w:ilvl="3" w:tplc="04260001" w:tentative="1">
      <w:start w:val="1"/>
      <w:numFmt w:val="bullet"/>
      <w:lvlText w:val=""/>
      <w:lvlJc w:val="left"/>
      <w:pPr>
        <w:ind w:left="3753" w:hanging="360"/>
      </w:pPr>
      <w:rPr>
        <w:rFonts w:ascii="Symbol" w:hAnsi="Symbol" w:hint="default"/>
      </w:rPr>
    </w:lvl>
    <w:lvl w:ilvl="4" w:tplc="04260003" w:tentative="1">
      <w:start w:val="1"/>
      <w:numFmt w:val="bullet"/>
      <w:lvlText w:val="o"/>
      <w:lvlJc w:val="left"/>
      <w:pPr>
        <w:ind w:left="4473" w:hanging="360"/>
      </w:pPr>
      <w:rPr>
        <w:rFonts w:ascii="Courier New" w:hAnsi="Courier New" w:cs="Courier New" w:hint="default"/>
      </w:rPr>
    </w:lvl>
    <w:lvl w:ilvl="5" w:tplc="04260005" w:tentative="1">
      <w:start w:val="1"/>
      <w:numFmt w:val="bullet"/>
      <w:lvlText w:val=""/>
      <w:lvlJc w:val="left"/>
      <w:pPr>
        <w:ind w:left="5193" w:hanging="360"/>
      </w:pPr>
      <w:rPr>
        <w:rFonts w:ascii="Wingdings" w:hAnsi="Wingdings" w:hint="default"/>
      </w:rPr>
    </w:lvl>
    <w:lvl w:ilvl="6" w:tplc="04260001" w:tentative="1">
      <w:start w:val="1"/>
      <w:numFmt w:val="bullet"/>
      <w:lvlText w:val=""/>
      <w:lvlJc w:val="left"/>
      <w:pPr>
        <w:ind w:left="5913" w:hanging="360"/>
      </w:pPr>
      <w:rPr>
        <w:rFonts w:ascii="Symbol" w:hAnsi="Symbol" w:hint="default"/>
      </w:rPr>
    </w:lvl>
    <w:lvl w:ilvl="7" w:tplc="04260003" w:tentative="1">
      <w:start w:val="1"/>
      <w:numFmt w:val="bullet"/>
      <w:lvlText w:val="o"/>
      <w:lvlJc w:val="left"/>
      <w:pPr>
        <w:ind w:left="6633" w:hanging="360"/>
      </w:pPr>
      <w:rPr>
        <w:rFonts w:ascii="Courier New" w:hAnsi="Courier New" w:cs="Courier New" w:hint="default"/>
      </w:rPr>
    </w:lvl>
    <w:lvl w:ilvl="8" w:tplc="04260005" w:tentative="1">
      <w:start w:val="1"/>
      <w:numFmt w:val="bullet"/>
      <w:lvlText w:val=""/>
      <w:lvlJc w:val="left"/>
      <w:pPr>
        <w:ind w:left="7353" w:hanging="360"/>
      </w:pPr>
      <w:rPr>
        <w:rFonts w:ascii="Wingdings" w:hAnsi="Wingdings" w:hint="default"/>
      </w:rPr>
    </w:lvl>
  </w:abstractNum>
  <w:abstractNum w:abstractNumId="24" w15:restartNumberingAfterBreak="0">
    <w:nsid w:val="5DEF7141"/>
    <w:multiLevelType w:val="hybridMultilevel"/>
    <w:tmpl w:val="22801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B15766"/>
    <w:multiLevelType w:val="hybridMultilevel"/>
    <w:tmpl w:val="397E0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EC03CC"/>
    <w:multiLevelType w:val="hybridMultilevel"/>
    <w:tmpl w:val="CCC6639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A053A2"/>
    <w:multiLevelType w:val="multilevel"/>
    <w:tmpl w:val="4BECF70E"/>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576" w:hanging="576"/>
      </w:pPr>
      <w:rPr>
        <w:rFonts w:hint="default"/>
      </w:rPr>
    </w:lvl>
    <w:lvl w:ilvl="2">
      <w:start w:val="1"/>
      <w:numFmt w:val="decimal"/>
      <w:pStyle w:val="Virsraksts3"/>
      <w:lvlText w:val="%1.%2.%3"/>
      <w:lvlJc w:val="left"/>
      <w:pPr>
        <w:ind w:left="720" w:hanging="720"/>
      </w:pPr>
      <w:rPr>
        <w:rFonts w:hint="default"/>
      </w:rPr>
    </w:lvl>
    <w:lvl w:ilvl="3">
      <w:start w:val="1"/>
      <w:numFmt w:val="decimal"/>
      <w:pStyle w:val="Virsraksts4"/>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28" w15:restartNumberingAfterBreak="0">
    <w:nsid w:val="713C66BC"/>
    <w:multiLevelType w:val="hybridMultilevel"/>
    <w:tmpl w:val="56BCF338"/>
    <w:lvl w:ilvl="0" w:tplc="69F6919A">
      <w:numFmt w:val="bullet"/>
      <w:lvlText w:val="-"/>
      <w:lvlJc w:val="left"/>
      <w:pPr>
        <w:ind w:left="1293" w:hanging="360"/>
      </w:pPr>
      <w:rPr>
        <w:rFonts w:ascii="Times New Roman" w:eastAsia="Times New Roman" w:hAnsi="Times New Roman" w:cs="Times New Roman" w:hint="default"/>
      </w:rPr>
    </w:lvl>
    <w:lvl w:ilvl="1" w:tplc="04260003" w:tentative="1">
      <w:start w:val="1"/>
      <w:numFmt w:val="bullet"/>
      <w:lvlText w:val="o"/>
      <w:lvlJc w:val="left"/>
      <w:pPr>
        <w:ind w:left="2013" w:hanging="360"/>
      </w:pPr>
      <w:rPr>
        <w:rFonts w:ascii="Courier New" w:hAnsi="Courier New" w:cs="Courier New" w:hint="default"/>
      </w:rPr>
    </w:lvl>
    <w:lvl w:ilvl="2" w:tplc="04260005" w:tentative="1">
      <w:start w:val="1"/>
      <w:numFmt w:val="bullet"/>
      <w:lvlText w:val=""/>
      <w:lvlJc w:val="left"/>
      <w:pPr>
        <w:ind w:left="2733" w:hanging="360"/>
      </w:pPr>
      <w:rPr>
        <w:rFonts w:ascii="Wingdings" w:hAnsi="Wingdings" w:hint="default"/>
      </w:rPr>
    </w:lvl>
    <w:lvl w:ilvl="3" w:tplc="04260001" w:tentative="1">
      <w:start w:val="1"/>
      <w:numFmt w:val="bullet"/>
      <w:lvlText w:val=""/>
      <w:lvlJc w:val="left"/>
      <w:pPr>
        <w:ind w:left="3453" w:hanging="360"/>
      </w:pPr>
      <w:rPr>
        <w:rFonts w:ascii="Symbol" w:hAnsi="Symbol" w:hint="default"/>
      </w:rPr>
    </w:lvl>
    <w:lvl w:ilvl="4" w:tplc="04260003" w:tentative="1">
      <w:start w:val="1"/>
      <w:numFmt w:val="bullet"/>
      <w:lvlText w:val="o"/>
      <w:lvlJc w:val="left"/>
      <w:pPr>
        <w:ind w:left="4173" w:hanging="360"/>
      </w:pPr>
      <w:rPr>
        <w:rFonts w:ascii="Courier New" w:hAnsi="Courier New" w:cs="Courier New" w:hint="default"/>
      </w:rPr>
    </w:lvl>
    <w:lvl w:ilvl="5" w:tplc="04260005" w:tentative="1">
      <w:start w:val="1"/>
      <w:numFmt w:val="bullet"/>
      <w:lvlText w:val=""/>
      <w:lvlJc w:val="left"/>
      <w:pPr>
        <w:ind w:left="4893" w:hanging="360"/>
      </w:pPr>
      <w:rPr>
        <w:rFonts w:ascii="Wingdings" w:hAnsi="Wingdings" w:hint="default"/>
      </w:rPr>
    </w:lvl>
    <w:lvl w:ilvl="6" w:tplc="04260001" w:tentative="1">
      <w:start w:val="1"/>
      <w:numFmt w:val="bullet"/>
      <w:lvlText w:val=""/>
      <w:lvlJc w:val="left"/>
      <w:pPr>
        <w:ind w:left="5613" w:hanging="360"/>
      </w:pPr>
      <w:rPr>
        <w:rFonts w:ascii="Symbol" w:hAnsi="Symbol" w:hint="default"/>
      </w:rPr>
    </w:lvl>
    <w:lvl w:ilvl="7" w:tplc="04260003" w:tentative="1">
      <w:start w:val="1"/>
      <w:numFmt w:val="bullet"/>
      <w:lvlText w:val="o"/>
      <w:lvlJc w:val="left"/>
      <w:pPr>
        <w:ind w:left="6333" w:hanging="360"/>
      </w:pPr>
      <w:rPr>
        <w:rFonts w:ascii="Courier New" w:hAnsi="Courier New" w:cs="Courier New" w:hint="default"/>
      </w:rPr>
    </w:lvl>
    <w:lvl w:ilvl="8" w:tplc="04260005" w:tentative="1">
      <w:start w:val="1"/>
      <w:numFmt w:val="bullet"/>
      <w:lvlText w:val=""/>
      <w:lvlJc w:val="left"/>
      <w:pPr>
        <w:ind w:left="7053" w:hanging="360"/>
      </w:pPr>
      <w:rPr>
        <w:rFonts w:ascii="Wingdings" w:hAnsi="Wingdings" w:hint="default"/>
      </w:rPr>
    </w:lvl>
  </w:abstractNum>
  <w:abstractNum w:abstractNumId="29" w15:restartNumberingAfterBreak="0">
    <w:nsid w:val="778160C6"/>
    <w:multiLevelType w:val="hybridMultilevel"/>
    <w:tmpl w:val="EAFA1B68"/>
    <w:lvl w:ilvl="0" w:tplc="844E0924">
      <w:start w:val="1"/>
      <w:numFmt w:val="decimal"/>
      <w:lvlText w:val="%1."/>
      <w:lvlJc w:val="left"/>
      <w:pPr>
        <w:tabs>
          <w:tab w:val="num" w:pos="927"/>
        </w:tabs>
        <w:ind w:left="0" w:firstLine="567"/>
      </w:pPr>
      <w:rPr>
        <w:rFonts w:hint="default"/>
      </w:rPr>
    </w:lvl>
    <w:lvl w:ilvl="1" w:tplc="6E284BBC">
      <w:start w:val="1"/>
      <w:numFmt w:val="decimal"/>
      <w:lvlText w:val="%2)"/>
      <w:lvlJc w:val="left"/>
      <w:pPr>
        <w:tabs>
          <w:tab w:val="num" w:pos="927"/>
        </w:tabs>
        <w:ind w:left="924" w:hanging="35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BF0DA0"/>
    <w:multiLevelType w:val="hybridMultilevel"/>
    <w:tmpl w:val="A93C0F36"/>
    <w:lvl w:ilvl="0" w:tplc="0426000B">
      <w:start w:val="1"/>
      <w:numFmt w:val="bullet"/>
      <w:lvlText w:val=""/>
      <w:lvlJc w:val="left"/>
      <w:pPr>
        <w:ind w:left="1003" w:hanging="360"/>
      </w:pPr>
      <w:rPr>
        <w:rFonts w:ascii="Wingdings" w:hAnsi="Wingdings"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31" w15:restartNumberingAfterBreak="0">
    <w:nsid w:val="7F6B0AA5"/>
    <w:multiLevelType w:val="hybridMultilevel"/>
    <w:tmpl w:val="F6EC57F6"/>
    <w:lvl w:ilvl="0" w:tplc="A0A2E510">
      <w:start w:val="1"/>
      <w:numFmt w:val="bullet"/>
      <w:lvlText w:val=""/>
      <w:lvlJc w:val="left"/>
      <w:pPr>
        <w:tabs>
          <w:tab w:val="num" w:pos="1190"/>
        </w:tabs>
        <w:ind w:left="1190" w:hanging="283"/>
      </w:pPr>
      <w:rPr>
        <w:rFonts w:ascii="Wingdings" w:hAnsi="Wingdings"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num w:numId="1">
    <w:abstractNumId w:val="31"/>
  </w:num>
  <w:num w:numId="2">
    <w:abstractNumId w:val="6"/>
  </w:num>
  <w:num w:numId="3">
    <w:abstractNumId w:val="29"/>
  </w:num>
  <w:num w:numId="4">
    <w:abstractNumId w:val="11"/>
  </w:num>
  <w:num w:numId="5">
    <w:abstractNumId w:val="20"/>
  </w:num>
  <w:num w:numId="6">
    <w:abstractNumId w:val="13"/>
  </w:num>
  <w:num w:numId="7">
    <w:abstractNumId w:val="27"/>
  </w:num>
  <w:num w:numId="8">
    <w:abstractNumId w:val="12"/>
  </w:num>
  <w:num w:numId="9">
    <w:abstractNumId w:val="1"/>
  </w:num>
  <w:num w:numId="10">
    <w:abstractNumId w:val="2"/>
  </w:num>
  <w:num w:numId="11">
    <w:abstractNumId w:val="0"/>
  </w:num>
  <w:num w:numId="12">
    <w:abstractNumId w:val="10"/>
  </w:num>
  <w:num w:numId="13">
    <w:abstractNumId w:val="14"/>
  </w:num>
  <w:num w:numId="14">
    <w:abstractNumId w:val="7"/>
  </w:num>
  <w:num w:numId="15">
    <w:abstractNumId w:val="17"/>
  </w:num>
  <w:num w:numId="16">
    <w:abstractNumId w:val="5"/>
  </w:num>
  <w:num w:numId="17">
    <w:abstractNumId w:val="15"/>
  </w:num>
  <w:num w:numId="18">
    <w:abstractNumId w:val="9"/>
  </w:num>
  <w:num w:numId="19">
    <w:abstractNumId w:val="28"/>
  </w:num>
  <w:num w:numId="20">
    <w:abstractNumId w:val="23"/>
  </w:num>
  <w:num w:numId="21">
    <w:abstractNumId w:val="16"/>
  </w:num>
  <w:num w:numId="22">
    <w:abstractNumId w:val="24"/>
  </w:num>
  <w:num w:numId="23">
    <w:abstractNumId w:val="30"/>
  </w:num>
  <w:num w:numId="24">
    <w:abstractNumId w:val="22"/>
  </w:num>
  <w:num w:numId="25">
    <w:abstractNumId w:val="18"/>
  </w:num>
  <w:num w:numId="26">
    <w:abstractNumId w:val="26"/>
  </w:num>
  <w:num w:numId="27">
    <w:abstractNumId w:val="3"/>
  </w:num>
  <w:num w:numId="28">
    <w:abstractNumId w:val="25"/>
  </w:num>
  <w:num w:numId="29">
    <w:abstractNumId w:val="4"/>
  </w:num>
  <w:num w:numId="30">
    <w:abstractNumId w:val="19"/>
  </w:num>
  <w:num w:numId="31">
    <w:abstractNumId w:val="21"/>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05"/>
    <w:rsid w:val="0000369F"/>
    <w:rsid w:val="000045DB"/>
    <w:rsid w:val="00011C91"/>
    <w:rsid w:val="00011D32"/>
    <w:rsid w:val="000131CA"/>
    <w:rsid w:val="00016193"/>
    <w:rsid w:val="000165C6"/>
    <w:rsid w:val="00021766"/>
    <w:rsid w:val="00023F82"/>
    <w:rsid w:val="0002587F"/>
    <w:rsid w:val="000343D7"/>
    <w:rsid w:val="00035891"/>
    <w:rsid w:val="00036374"/>
    <w:rsid w:val="00037181"/>
    <w:rsid w:val="00040A41"/>
    <w:rsid w:val="000415A1"/>
    <w:rsid w:val="00041F94"/>
    <w:rsid w:val="0004397F"/>
    <w:rsid w:val="000460BA"/>
    <w:rsid w:val="000460F1"/>
    <w:rsid w:val="00050F6A"/>
    <w:rsid w:val="000516B5"/>
    <w:rsid w:val="00055FF4"/>
    <w:rsid w:val="000634DD"/>
    <w:rsid w:val="000650D6"/>
    <w:rsid w:val="00066541"/>
    <w:rsid w:val="00067F73"/>
    <w:rsid w:val="000738D7"/>
    <w:rsid w:val="00074B52"/>
    <w:rsid w:val="000779DF"/>
    <w:rsid w:val="00080E39"/>
    <w:rsid w:val="000860C2"/>
    <w:rsid w:val="00090AB1"/>
    <w:rsid w:val="00090EFC"/>
    <w:rsid w:val="00092CA3"/>
    <w:rsid w:val="000A46D1"/>
    <w:rsid w:val="000B20F1"/>
    <w:rsid w:val="000B350A"/>
    <w:rsid w:val="000B434F"/>
    <w:rsid w:val="000B60E6"/>
    <w:rsid w:val="000C6E75"/>
    <w:rsid w:val="000C74D6"/>
    <w:rsid w:val="000C78F1"/>
    <w:rsid w:val="000C7BD7"/>
    <w:rsid w:val="000D13DA"/>
    <w:rsid w:val="000D1ADD"/>
    <w:rsid w:val="000D2634"/>
    <w:rsid w:val="000D2A54"/>
    <w:rsid w:val="000D378A"/>
    <w:rsid w:val="000E358E"/>
    <w:rsid w:val="000E4159"/>
    <w:rsid w:val="000E4255"/>
    <w:rsid w:val="000E4547"/>
    <w:rsid w:val="000E6ABD"/>
    <w:rsid w:val="000F3695"/>
    <w:rsid w:val="00100317"/>
    <w:rsid w:val="00105D72"/>
    <w:rsid w:val="00106A5B"/>
    <w:rsid w:val="00107221"/>
    <w:rsid w:val="001074CE"/>
    <w:rsid w:val="00107956"/>
    <w:rsid w:val="00107A5F"/>
    <w:rsid w:val="001156E9"/>
    <w:rsid w:val="00115BA3"/>
    <w:rsid w:val="00127E02"/>
    <w:rsid w:val="00130615"/>
    <w:rsid w:val="00130B44"/>
    <w:rsid w:val="00131DED"/>
    <w:rsid w:val="00136A8B"/>
    <w:rsid w:val="00136C4A"/>
    <w:rsid w:val="00142373"/>
    <w:rsid w:val="00143CBD"/>
    <w:rsid w:val="00150A96"/>
    <w:rsid w:val="001519A7"/>
    <w:rsid w:val="0015204C"/>
    <w:rsid w:val="00152359"/>
    <w:rsid w:val="00154A6F"/>
    <w:rsid w:val="00162BDE"/>
    <w:rsid w:val="00162C98"/>
    <w:rsid w:val="00163052"/>
    <w:rsid w:val="00164AD5"/>
    <w:rsid w:val="00165C5B"/>
    <w:rsid w:val="00167D61"/>
    <w:rsid w:val="00171E36"/>
    <w:rsid w:val="00172F26"/>
    <w:rsid w:val="0017475A"/>
    <w:rsid w:val="00175927"/>
    <w:rsid w:val="0017784D"/>
    <w:rsid w:val="00177F05"/>
    <w:rsid w:val="001809EA"/>
    <w:rsid w:val="001814F4"/>
    <w:rsid w:val="00181A48"/>
    <w:rsid w:val="00185F44"/>
    <w:rsid w:val="00186033"/>
    <w:rsid w:val="001876A1"/>
    <w:rsid w:val="00191944"/>
    <w:rsid w:val="00191F7A"/>
    <w:rsid w:val="0019592E"/>
    <w:rsid w:val="001969F6"/>
    <w:rsid w:val="001A1897"/>
    <w:rsid w:val="001A2700"/>
    <w:rsid w:val="001A7FAF"/>
    <w:rsid w:val="001B0FFF"/>
    <w:rsid w:val="001B354A"/>
    <w:rsid w:val="001C0275"/>
    <w:rsid w:val="001C1C7F"/>
    <w:rsid w:val="001C2953"/>
    <w:rsid w:val="001C410A"/>
    <w:rsid w:val="001C4823"/>
    <w:rsid w:val="001D0C18"/>
    <w:rsid w:val="001D1323"/>
    <w:rsid w:val="001D32AF"/>
    <w:rsid w:val="001D594A"/>
    <w:rsid w:val="001D7587"/>
    <w:rsid w:val="001D7706"/>
    <w:rsid w:val="001D7BE7"/>
    <w:rsid w:val="001E7E1D"/>
    <w:rsid w:val="001F1B0C"/>
    <w:rsid w:val="001F3A1A"/>
    <w:rsid w:val="001F7340"/>
    <w:rsid w:val="001F7690"/>
    <w:rsid w:val="00204392"/>
    <w:rsid w:val="00205654"/>
    <w:rsid w:val="002151D8"/>
    <w:rsid w:val="002202A8"/>
    <w:rsid w:val="00222948"/>
    <w:rsid w:val="00222E14"/>
    <w:rsid w:val="00232656"/>
    <w:rsid w:val="0023521C"/>
    <w:rsid w:val="00237849"/>
    <w:rsid w:val="00241D27"/>
    <w:rsid w:val="00245CF3"/>
    <w:rsid w:val="0024693D"/>
    <w:rsid w:val="002505DD"/>
    <w:rsid w:val="00260D45"/>
    <w:rsid w:val="0027019A"/>
    <w:rsid w:val="00272259"/>
    <w:rsid w:val="002752D4"/>
    <w:rsid w:val="002753F8"/>
    <w:rsid w:val="002768AA"/>
    <w:rsid w:val="0027786B"/>
    <w:rsid w:val="002813B6"/>
    <w:rsid w:val="002820E7"/>
    <w:rsid w:val="002826D0"/>
    <w:rsid w:val="00282CB3"/>
    <w:rsid w:val="00282D5A"/>
    <w:rsid w:val="00284606"/>
    <w:rsid w:val="00284CF6"/>
    <w:rsid w:val="00287C92"/>
    <w:rsid w:val="00292FE2"/>
    <w:rsid w:val="00293509"/>
    <w:rsid w:val="0029428B"/>
    <w:rsid w:val="00296123"/>
    <w:rsid w:val="002979D7"/>
    <w:rsid w:val="002A24E3"/>
    <w:rsid w:val="002A31F2"/>
    <w:rsid w:val="002A5D7F"/>
    <w:rsid w:val="002A6B5E"/>
    <w:rsid w:val="002A7F4E"/>
    <w:rsid w:val="002B096E"/>
    <w:rsid w:val="002B0DD9"/>
    <w:rsid w:val="002B16D2"/>
    <w:rsid w:val="002B1709"/>
    <w:rsid w:val="002B3EF4"/>
    <w:rsid w:val="002B50F0"/>
    <w:rsid w:val="002C208D"/>
    <w:rsid w:val="002C5514"/>
    <w:rsid w:val="002C589B"/>
    <w:rsid w:val="002D2E73"/>
    <w:rsid w:val="002D41CE"/>
    <w:rsid w:val="002D6282"/>
    <w:rsid w:val="002D6F9B"/>
    <w:rsid w:val="002E23C4"/>
    <w:rsid w:val="002E46C2"/>
    <w:rsid w:val="002E553A"/>
    <w:rsid w:val="002E6AD6"/>
    <w:rsid w:val="002E6E18"/>
    <w:rsid w:val="002E7451"/>
    <w:rsid w:val="002F15E9"/>
    <w:rsid w:val="002F1CD8"/>
    <w:rsid w:val="002F2161"/>
    <w:rsid w:val="002F2C75"/>
    <w:rsid w:val="002F57E2"/>
    <w:rsid w:val="002F6DEC"/>
    <w:rsid w:val="00303A8A"/>
    <w:rsid w:val="00305774"/>
    <w:rsid w:val="00305E7E"/>
    <w:rsid w:val="003128F1"/>
    <w:rsid w:val="003130F2"/>
    <w:rsid w:val="003154D9"/>
    <w:rsid w:val="00315765"/>
    <w:rsid w:val="003159D1"/>
    <w:rsid w:val="00316B91"/>
    <w:rsid w:val="00320FFF"/>
    <w:rsid w:val="00322664"/>
    <w:rsid w:val="00324F66"/>
    <w:rsid w:val="00326642"/>
    <w:rsid w:val="0033073B"/>
    <w:rsid w:val="00330C49"/>
    <w:rsid w:val="00330CB6"/>
    <w:rsid w:val="00332979"/>
    <w:rsid w:val="003348D1"/>
    <w:rsid w:val="00335132"/>
    <w:rsid w:val="00335B6C"/>
    <w:rsid w:val="00336847"/>
    <w:rsid w:val="0034047B"/>
    <w:rsid w:val="00340E91"/>
    <w:rsid w:val="00341B99"/>
    <w:rsid w:val="00343A8B"/>
    <w:rsid w:val="00346A14"/>
    <w:rsid w:val="00351FD0"/>
    <w:rsid w:val="00352588"/>
    <w:rsid w:val="00354F62"/>
    <w:rsid w:val="0036189F"/>
    <w:rsid w:val="00361D2D"/>
    <w:rsid w:val="00366BCA"/>
    <w:rsid w:val="00367392"/>
    <w:rsid w:val="00370406"/>
    <w:rsid w:val="00372A2A"/>
    <w:rsid w:val="00373377"/>
    <w:rsid w:val="00374500"/>
    <w:rsid w:val="00374605"/>
    <w:rsid w:val="003867D5"/>
    <w:rsid w:val="00390F5B"/>
    <w:rsid w:val="00392BF3"/>
    <w:rsid w:val="0039492A"/>
    <w:rsid w:val="00394E91"/>
    <w:rsid w:val="00396B56"/>
    <w:rsid w:val="003A2A6E"/>
    <w:rsid w:val="003A46A1"/>
    <w:rsid w:val="003A6C6E"/>
    <w:rsid w:val="003A7237"/>
    <w:rsid w:val="003A73DD"/>
    <w:rsid w:val="003A7E0F"/>
    <w:rsid w:val="003B4EA5"/>
    <w:rsid w:val="003C158C"/>
    <w:rsid w:val="003C3162"/>
    <w:rsid w:val="003C3EDE"/>
    <w:rsid w:val="003D0AED"/>
    <w:rsid w:val="003D29BD"/>
    <w:rsid w:val="003D3171"/>
    <w:rsid w:val="003D34A0"/>
    <w:rsid w:val="003D3F70"/>
    <w:rsid w:val="003D6C5B"/>
    <w:rsid w:val="003D79A5"/>
    <w:rsid w:val="003E6CB1"/>
    <w:rsid w:val="003F1728"/>
    <w:rsid w:val="003F1834"/>
    <w:rsid w:val="003F1BD8"/>
    <w:rsid w:val="003F612E"/>
    <w:rsid w:val="003F6520"/>
    <w:rsid w:val="00400F7F"/>
    <w:rsid w:val="004048D0"/>
    <w:rsid w:val="00407E46"/>
    <w:rsid w:val="00412499"/>
    <w:rsid w:val="0041484F"/>
    <w:rsid w:val="00414DDB"/>
    <w:rsid w:val="00415349"/>
    <w:rsid w:val="004238DF"/>
    <w:rsid w:val="00423BFE"/>
    <w:rsid w:val="004267C1"/>
    <w:rsid w:val="00442609"/>
    <w:rsid w:val="00444783"/>
    <w:rsid w:val="00446E25"/>
    <w:rsid w:val="00452D7E"/>
    <w:rsid w:val="004533AF"/>
    <w:rsid w:val="00453402"/>
    <w:rsid w:val="00454AC0"/>
    <w:rsid w:val="00460A61"/>
    <w:rsid w:val="00460AEC"/>
    <w:rsid w:val="0046120B"/>
    <w:rsid w:val="0046140A"/>
    <w:rsid w:val="00461922"/>
    <w:rsid w:val="0046204F"/>
    <w:rsid w:val="00462CD0"/>
    <w:rsid w:val="00464882"/>
    <w:rsid w:val="00464C2B"/>
    <w:rsid w:val="0046528A"/>
    <w:rsid w:val="004661DE"/>
    <w:rsid w:val="00467C68"/>
    <w:rsid w:val="004705A1"/>
    <w:rsid w:val="00472A84"/>
    <w:rsid w:val="00472B14"/>
    <w:rsid w:val="004732BB"/>
    <w:rsid w:val="00473D50"/>
    <w:rsid w:val="00474740"/>
    <w:rsid w:val="004753B3"/>
    <w:rsid w:val="00477468"/>
    <w:rsid w:val="004775A2"/>
    <w:rsid w:val="00480F3A"/>
    <w:rsid w:val="00480FB0"/>
    <w:rsid w:val="004834A9"/>
    <w:rsid w:val="00483556"/>
    <w:rsid w:val="00484815"/>
    <w:rsid w:val="00491055"/>
    <w:rsid w:val="00491B80"/>
    <w:rsid w:val="0049478B"/>
    <w:rsid w:val="004A015F"/>
    <w:rsid w:val="004A1644"/>
    <w:rsid w:val="004A1B96"/>
    <w:rsid w:val="004A75BF"/>
    <w:rsid w:val="004B0BDA"/>
    <w:rsid w:val="004B1CC4"/>
    <w:rsid w:val="004B4FCF"/>
    <w:rsid w:val="004B78A7"/>
    <w:rsid w:val="004C2741"/>
    <w:rsid w:val="004C530F"/>
    <w:rsid w:val="004C5769"/>
    <w:rsid w:val="004C61DE"/>
    <w:rsid w:val="004C7664"/>
    <w:rsid w:val="004D046F"/>
    <w:rsid w:val="004D0AE8"/>
    <w:rsid w:val="004D4E22"/>
    <w:rsid w:val="004D5251"/>
    <w:rsid w:val="004D69C7"/>
    <w:rsid w:val="004D6DA5"/>
    <w:rsid w:val="004E0049"/>
    <w:rsid w:val="004E2E65"/>
    <w:rsid w:val="004E40AA"/>
    <w:rsid w:val="004E4BC4"/>
    <w:rsid w:val="004E625B"/>
    <w:rsid w:val="004E73E2"/>
    <w:rsid w:val="004E754C"/>
    <w:rsid w:val="004E7EA7"/>
    <w:rsid w:val="004F111C"/>
    <w:rsid w:val="004F307F"/>
    <w:rsid w:val="004F6B04"/>
    <w:rsid w:val="00503303"/>
    <w:rsid w:val="005068CC"/>
    <w:rsid w:val="005130D4"/>
    <w:rsid w:val="00513F30"/>
    <w:rsid w:val="0051739D"/>
    <w:rsid w:val="00522802"/>
    <w:rsid w:val="00522D0B"/>
    <w:rsid w:val="005306A7"/>
    <w:rsid w:val="00530A20"/>
    <w:rsid w:val="00531C2C"/>
    <w:rsid w:val="005354D8"/>
    <w:rsid w:val="005377FC"/>
    <w:rsid w:val="00537D03"/>
    <w:rsid w:val="0054110E"/>
    <w:rsid w:val="00544205"/>
    <w:rsid w:val="00546683"/>
    <w:rsid w:val="005479BF"/>
    <w:rsid w:val="0055131E"/>
    <w:rsid w:val="005516EE"/>
    <w:rsid w:val="005523B7"/>
    <w:rsid w:val="005527C2"/>
    <w:rsid w:val="0055290E"/>
    <w:rsid w:val="00554160"/>
    <w:rsid w:val="00556312"/>
    <w:rsid w:val="00557E44"/>
    <w:rsid w:val="0056162E"/>
    <w:rsid w:val="00561823"/>
    <w:rsid w:val="00561EB3"/>
    <w:rsid w:val="005636D3"/>
    <w:rsid w:val="00563A06"/>
    <w:rsid w:val="00563E4C"/>
    <w:rsid w:val="00564A94"/>
    <w:rsid w:val="00572236"/>
    <w:rsid w:val="0057480B"/>
    <w:rsid w:val="005758C1"/>
    <w:rsid w:val="00575D55"/>
    <w:rsid w:val="005760D3"/>
    <w:rsid w:val="00576845"/>
    <w:rsid w:val="0058356D"/>
    <w:rsid w:val="00583B39"/>
    <w:rsid w:val="00585415"/>
    <w:rsid w:val="005907E1"/>
    <w:rsid w:val="005A04E6"/>
    <w:rsid w:val="005A2072"/>
    <w:rsid w:val="005A2365"/>
    <w:rsid w:val="005A5BED"/>
    <w:rsid w:val="005A62A4"/>
    <w:rsid w:val="005A651B"/>
    <w:rsid w:val="005B1D6A"/>
    <w:rsid w:val="005C19A3"/>
    <w:rsid w:val="005C1C13"/>
    <w:rsid w:val="005C1E6F"/>
    <w:rsid w:val="005C440A"/>
    <w:rsid w:val="005C70A2"/>
    <w:rsid w:val="005C77E6"/>
    <w:rsid w:val="005D0B1F"/>
    <w:rsid w:val="005D1012"/>
    <w:rsid w:val="005D2580"/>
    <w:rsid w:val="005D2C07"/>
    <w:rsid w:val="005D336D"/>
    <w:rsid w:val="005D4485"/>
    <w:rsid w:val="005D4D3D"/>
    <w:rsid w:val="005D55D2"/>
    <w:rsid w:val="005D59F5"/>
    <w:rsid w:val="005D5B7E"/>
    <w:rsid w:val="005D6B2E"/>
    <w:rsid w:val="005E448F"/>
    <w:rsid w:val="005E7B0F"/>
    <w:rsid w:val="005F1821"/>
    <w:rsid w:val="005F2129"/>
    <w:rsid w:val="005F21C9"/>
    <w:rsid w:val="005F3641"/>
    <w:rsid w:val="005F771F"/>
    <w:rsid w:val="006000B2"/>
    <w:rsid w:val="006016D8"/>
    <w:rsid w:val="0060233D"/>
    <w:rsid w:val="00603A49"/>
    <w:rsid w:val="006107FE"/>
    <w:rsid w:val="006112DD"/>
    <w:rsid w:val="00613944"/>
    <w:rsid w:val="00613EC8"/>
    <w:rsid w:val="00617B13"/>
    <w:rsid w:val="0063187C"/>
    <w:rsid w:val="006344E3"/>
    <w:rsid w:val="006360AA"/>
    <w:rsid w:val="006400FF"/>
    <w:rsid w:val="00644AD6"/>
    <w:rsid w:val="00644B23"/>
    <w:rsid w:val="00645F6D"/>
    <w:rsid w:val="0064613C"/>
    <w:rsid w:val="0064781C"/>
    <w:rsid w:val="00653058"/>
    <w:rsid w:val="0065331C"/>
    <w:rsid w:val="00656BEA"/>
    <w:rsid w:val="00657EDD"/>
    <w:rsid w:val="006643CC"/>
    <w:rsid w:val="00665E9B"/>
    <w:rsid w:val="00666F65"/>
    <w:rsid w:val="00667092"/>
    <w:rsid w:val="006671B3"/>
    <w:rsid w:val="00670B5A"/>
    <w:rsid w:val="006711BD"/>
    <w:rsid w:val="006747D5"/>
    <w:rsid w:val="00680176"/>
    <w:rsid w:val="00680BC9"/>
    <w:rsid w:val="006810BB"/>
    <w:rsid w:val="006831BC"/>
    <w:rsid w:val="006A01CC"/>
    <w:rsid w:val="006A1E62"/>
    <w:rsid w:val="006A4769"/>
    <w:rsid w:val="006A7F8B"/>
    <w:rsid w:val="006B0505"/>
    <w:rsid w:val="006B094F"/>
    <w:rsid w:val="006B0A1F"/>
    <w:rsid w:val="006B3402"/>
    <w:rsid w:val="006B5289"/>
    <w:rsid w:val="006B61C6"/>
    <w:rsid w:val="006B6C38"/>
    <w:rsid w:val="006C4821"/>
    <w:rsid w:val="006D06BF"/>
    <w:rsid w:val="006D6524"/>
    <w:rsid w:val="006E2913"/>
    <w:rsid w:val="006E35AD"/>
    <w:rsid w:val="006E54FA"/>
    <w:rsid w:val="006F1272"/>
    <w:rsid w:val="006F5736"/>
    <w:rsid w:val="006F69C9"/>
    <w:rsid w:val="006F705C"/>
    <w:rsid w:val="007113C8"/>
    <w:rsid w:val="007150DA"/>
    <w:rsid w:val="007154C4"/>
    <w:rsid w:val="00721862"/>
    <w:rsid w:val="0072782C"/>
    <w:rsid w:val="00732CAF"/>
    <w:rsid w:val="0073432C"/>
    <w:rsid w:val="00736147"/>
    <w:rsid w:val="00736832"/>
    <w:rsid w:val="00737FC0"/>
    <w:rsid w:val="00740E95"/>
    <w:rsid w:val="00741129"/>
    <w:rsid w:val="00742241"/>
    <w:rsid w:val="0074259F"/>
    <w:rsid w:val="0074265C"/>
    <w:rsid w:val="00742951"/>
    <w:rsid w:val="007445CF"/>
    <w:rsid w:val="0075117D"/>
    <w:rsid w:val="007518A0"/>
    <w:rsid w:val="0075286A"/>
    <w:rsid w:val="0075489A"/>
    <w:rsid w:val="00754CB3"/>
    <w:rsid w:val="0075557D"/>
    <w:rsid w:val="00757330"/>
    <w:rsid w:val="007576B7"/>
    <w:rsid w:val="00760BC1"/>
    <w:rsid w:val="00763A7D"/>
    <w:rsid w:val="00764859"/>
    <w:rsid w:val="00764FDD"/>
    <w:rsid w:val="007657CA"/>
    <w:rsid w:val="00766207"/>
    <w:rsid w:val="00770939"/>
    <w:rsid w:val="00771F95"/>
    <w:rsid w:val="00775DCE"/>
    <w:rsid w:val="00777D3C"/>
    <w:rsid w:val="007803B3"/>
    <w:rsid w:val="00780D27"/>
    <w:rsid w:val="0078137D"/>
    <w:rsid w:val="007868B8"/>
    <w:rsid w:val="00793D75"/>
    <w:rsid w:val="00794D0D"/>
    <w:rsid w:val="007A0981"/>
    <w:rsid w:val="007A3778"/>
    <w:rsid w:val="007A5177"/>
    <w:rsid w:val="007A6373"/>
    <w:rsid w:val="007A7AAD"/>
    <w:rsid w:val="007B34CE"/>
    <w:rsid w:val="007B4D09"/>
    <w:rsid w:val="007B50C3"/>
    <w:rsid w:val="007B7EDB"/>
    <w:rsid w:val="007C2D1A"/>
    <w:rsid w:val="007C46B8"/>
    <w:rsid w:val="007C514C"/>
    <w:rsid w:val="007C66B2"/>
    <w:rsid w:val="007C70A6"/>
    <w:rsid w:val="007D1FA3"/>
    <w:rsid w:val="007D3C95"/>
    <w:rsid w:val="007D6E12"/>
    <w:rsid w:val="007D791C"/>
    <w:rsid w:val="007E3856"/>
    <w:rsid w:val="007E43F7"/>
    <w:rsid w:val="007E5EA5"/>
    <w:rsid w:val="007F0151"/>
    <w:rsid w:val="007F19B2"/>
    <w:rsid w:val="007F5502"/>
    <w:rsid w:val="007F608A"/>
    <w:rsid w:val="0080117B"/>
    <w:rsid w:val="00804046"/>
    <w:rsid w:val="00804391"/>
    <w:rsid w:val="00806109"/>
    <w:rsid w:val="008073A1"/>
    <w:rsid w:val="0081286E"/>
    <w:rsid w:val="00816F6D"/>
    <w:rsid w:val="008173AB"/>
    <w:rsid w:val="00823668"/>
    <w:rsid w:val="00824862"/>
    <w:rsid w:val="00831712"/>
    <w:rsid w:val="00831C7D"/>
    <w:rsid w:val="0083300C"/>
    <w:rsid w:val="00833ECA"/>
    <w:rsid w:val="00834F6D"/>
    <w:rsid w:val="00834F9E"/>
    <w:rsid w:val="008363FF"/>
    <w:rsid w:val="0083710D"/>
    <w:rsid w:val="00840750"/>
    <w:rsid w:val="00840846"/>
    <w:rsid w:val="00842041"/>
    <w:rsid w:val="00847E7E"/>
    <w:rsid w:val="00856F9C"/>
    <w:rsid w:val="00866AD0"/>
    <w:rsid w:val="008672C7"/>
    <w:rsid w:val="00872322"/>
    <w:rsid w:val="00872AB7"/>
    <w:rsid w:val="00876FC4"/>
    <w:rsid w:val="0088219E"/>
    <w:rsid w:val="00882369"/>
    <w:rsid w:val="008824D3"/>
    <w:rsid w:val="00885BD0"/>
    <w:rsid w:val="008863FB"/>
    <w:rsid w:val="00886F0B"/>
    <w:rsid w:val="00890746"/>
    <w:rsid w:val="0089212C"/>
    <w:rsid w:val="008922BA"/>
    <w:rsid w:val="008924CA"/>
    <w:rsid w:val="008940C1"/>
    <w:rsid w:val="008969BD"/>
    <w:rsid w:val="00896E66"/>
    <w:rsid w:val="008A0BCA"/>
    <w:rsid w:val="008A134D"/>
    <w:rsid w:val="008A3435"/>
    <w:rsid w:val="008A4563"/>
    <w:rsid w:val="008A78C2"/>
    <w:rsid w:val="008B26BD"/>
    <w:rsid w:val="008B4008"/>
    <w:rsid w:val="008B4C7D"/>
    <w:rsid w:val="008B65B3"/>
    <w:rsid w:val="008B67A9"/>
    <w:rsid w:val="008B7ED5"/>
    <w:rsid w:val="008C07E2"/>
    <w:rsid w:val="008C4B63"/>
    <w:rsid w:val="008C55AC"/>
    <w:rsid w:val="008C6421"/>
    <w:rsid w:val="008D0613"/>
    <w:rsid w:val="008D09E9"/>
    <w:rsid w:val="008D784C"/>
    <w:rsid w:val="008D7E02"/>
    <w:rsid w:val="008E357C"/>
    <w:rsid w:val="008E73D4"/>
    <w:rsid w:val="008F2F8B"/>
    <w:rsid w:val="008F7698"/>
    <w:rsid w:val="008F7C8F"/>
    <w:rsid w:val="00905656"/>
    <w:rsid w:val="00905FB5"/>
    <w:rsid w:val="00906BD4"/>
    <w:rsid w:val="00907E7D"/>
    <w:rsid w:val="00907F73"/>
    <w:rsid w:val="00910230"/>
    <w:rsid w:val="00913F90"/>
    <w:rsid w:val="00917FEF"/>
    <w:rsid w:val="00920C23"/>
    <w:rsid w:val="009231B9"/>
    <w:rsid w:val="00923A47"/>
    <w:rsid w:val="009364A7"/>
    <w:rsid w:val="00941EC7"/>
    <w:rsid w:val="00946C71"/>
    <w:rsid w:val="0094746C"/>
    <w:rsid w:val="00947563"/>
    <w:rsid w:val="009531C4"/>
    <w:rsid w:val="0095600D"/>
    <w:rsid w:val="00960F80"/>
    <w:rsid w:val="00963533"/>
    <w:rsid w:val="00963590"/>
    <w:rsid w:val="00966B1F"/>
    <w:rsid w:val="00973DC7"/>
    <w:rsid w:val="009743C1"/>
    <w:rsid w:val="009777C6"/>
    <w:rsid w:val="00977D04"/>
    <w:rsid w:val="009829FC"/>
    <w:rsid w:val="00983E4B"/>
    <w:rsid w:val="00994486"/>
    <w:rsid w:val="00995B9F"/>
    <w:rsid w:val="00996761"/>
    <w:rsid w:val="0099698F"/>
    <w:rsid w:val="009A2A2A"/>
    <w:rsid w:val="009A3DAD"/>
    <w:rsid w:val="009A4001"/>
    <w:rsid w:val="009A5DB1"/>
    <w:rsid w:val="009B1453"/>
    <w:rsid w:val="009B2FED"/>
    <w:rsid w:val="009B38D7"/>
    <w:rsid w:val="009B45C2"/>
    <w:rsid w:val="009B5154"/>
    <w:rsid w:val="009B5C11"/>
    <w:rsid w:val="009B6082"/>
    <w:rsid w:val="009C0DC7"/>
    <w:rsid w:val="009C2457"/>
    <w:rsid w:val="009C2920"/>
    <w:rsid w:val="009C63F7"/>
    <w:rsid w:val="009D0107"/>
    <w:rsid w:val="009D027C"/>
    <w:rsid w:val="009D733B"/>
    <w:rsid w:val="009E019F"/>
    <w:rsid w:val="009E0DAC"/>
    <w:rsid w:val="009E1F03"/>
    <w:rsid w:val="009E2072"/>
    <w:rsid w:val="009E4B4F"/>
    <w:rsid w:val="009F0C12"/>
    <w:rsid w:val="009F2BD2"/>
    <w:rsid w:val="009F482E"/>
    <w:rsid w:val="009F570A"/>
    <w:rsid w:val="00A03B2F"/>
    <w:rsid w:val="00A0498D"/>
    <w:rsid w:val="00A05E4C"/>
    <w:rsid w:val="00A06045"/>
    <w:rsid w:val="00A072F4"/>
    <w:rsid w:val="00A10D3D"/>
    <w:rsid w:val="00A11441"/>
    <w:rsid w:val="00A121DB"/>
    <w:rsid w:val="00A239BE"/>
    <w:rsid w:val="00A23CE3"/>
    <w:rsid w:val="00A25750"/>
    <w:rsid w:val="00A268A5"/>
    <w:rsid w:val="00A303E9"/>
    <w:rsid w:val="00A31BB0"/>
    <w:rsid w:val="00A3201F"/>
    <w:rsid w:val="00A32357"/>
    <w:rsid w:val="00A357B5"/>
    <w:rsid w:val="00A37494"/>
    <w:rsid w:val="00A43AE5"/>
    <w:rsid w:val="00A457B0"/>
    <w:rsid w:val="00A52A8D"/>
    <w:rsid w:val="00A530EA"/>
    <w:rsid w:val="00A5699E"/>
    <w:rsid w:val="00A6059E"/>
    <w:rsid w:val="00A634C0"/>
    <w:rsid w:val="00A659A2"/>
    <w:rsid w:val="00A72EE4"/>
    <w:rsid w:val="00A76A97"/>
    <w:rsid w:val="00A80DF2"/>
    <w:rsid w:val="00A826C6"/>
    <w:rsid w:val="00A83336"/>
    <w:rsid w:val="00A86FE8"/>
    <w:rsid w:val="00A87878"/>
    <w:rsid w:val="00A915FE"/>
    <w:rsid w:val="00A91A84"/>
    <w:rsid w:val="00A91F56"/>
    <w:rsid w:val="00A94A9C"/>
    <w:rsid w:val="00A9582F"/>
    <w:rsid w:val="00A95D46"/>
    <w:rsid w:val="00A96D9A"/>
    <w:rsid w:val="00AA2E50"/>
    <w:rsid w:val="00AA5E4E"/>
    <w:rsid w:val="00AA6DD5"/>
    <w:rsid w:val="00AA7363"/>
    <w:rsid w:val="00AB080E"/>
    <w:rsid w:val="00AB19BB"/>
    <w:rsid w:val="00AB353C"/>
    <w:rsid w:val="00AB4654"/>
    <w:rsid w:val="00AB7E23"/>
    <w:rsid w:val="00AC01FA"/>
    <w:rsid w:val="00AC33D5"/>
    <w:rsid w:val="00AC4AD1"/>
    <w:rsid w:val="00AD3173"/>
    <w:rsid w:val="00AD71F8"/>
    <w:rsid w:val="00AD7DC7"/>
    <w:rsid w:val="00AE2098"/>
    <w:rsid w:val="00AE6CC2"/>
    <w:rsid w:val="00AF1BC8"/>
    <w:rsid w:val="00AF32DC"/>
    <w:rsid w:val="00AF4A44"/>
    <w:rsid w:val="00B00050"/>
    <w:rsid w:val="00B018F4"/>
    <w:rsid w:val="00B03B6A"/>
    <w:rsid w:val="00B0436C"/>
    <w:rsid w:val="00B04B56"/>
    <w:rsid w:val="00B1033E"/>
    <w:rsid w:val="00B12AF9"/>
    <w:rsid w:val="00B13990"/>
    <w:rsid w:val="00B1666F"/>
    <w:rsid w:val="00B17BBF"/>
    <w:rsid w:val="00B205F9"/>
    <w:rsid w:val="00B22895"/>
    <w:rsid w:val="00B3003E"/>
    <w:rsid w:val="00B31967"/>
    <w:rsid w:val="00B322DA"/>
    <w:rsid w:val="00B334B7"/>
    <w:rsid w:val="00B36614"/>
    <w:rsid w:val="00B369EF"/>
    <w:rsid w:val="00B4191B"/>
    <w:rsid w:val="00B41F68"/>
    <w:rsid w:val="00B42099"/>
    <w:rsid w:val="00B43D80"/>
    <w:rsid w:val="00B54F0A"/>
    <w:rsid w:val="00B554B3"/>
    <w:rsid w:val="00B559CE"/>
    <w:rsid w:val="00B5635C"/>
    <w:rsid w:val="00B56B2C"/>
    <w:rsid w:val="00B57DA6"/>
    <w:rsid w:val="00B633E2"/>
    <w:rsid w:val="00B638C7"/>
    <w:rsid w:val="00B64D89"/>
    <w:rsid w:val="00B73A2D"/>
    <w:rsid w:val="00B80FA1"/>
    <w:rsid w:val="00B83360"/>
    <w:rsid w:val="00B840E4"/>
    <w:rsid w:val="00B84F60"/>
    <w:rsid w:val="00B86DCB"/>
    <w:rsid w:val="00B90652"/>
    <w:rsid w:val="00B9294B"/>
    <w:rsid w:val="00B94B08"/>
    <w:rsid w:val="00BA0052"/>
    <w:rsid w:val="00BA18F5"/>
    <w:rsid w:val="00BA20B1"/>
    <w:rsid w:val="00BA2905"/>
    <w:rsid w:val="00BA57DA"/>
    <w:rsid w:val="00BB4450"/>
    <w:rsid w:val="00BB5E9F"/>
    <w:rsid w:val="00BB7580"/>
    <w:rsid w:val="00BC2DE6"/>
    <w:rsid w:val="00BC43E5"/>
    <w:rsid w:val="00BC49DD"/>
    <w:rsid w:val="00BC61A6"/>
    <w:rsid w:val="00BC63A1"/>
    <w:rsid w:val="00BD1856"/>
    <w:rsid w:val="00BD4034"/>
    <w:rsid w:val="00BD6BDC"/>
    <w:rsid w:val="00BE0571"/>
    <w:rsid w:val="00BE19F9"/>
    <w:rsid w:val="00BE24AD"/>
    <w:rsid w:val="00BE38ED"/>
    <w:rsid w:val="00BE5EED"/>
    <w:rsid w:val="00BF0619"/>
    <w:rsid w:val="00BF3549"/>
    <w:rsid w:val="00BF54D7"/>
    <w:rsid w:val="00BF6A65"/>
    <w:rsid w:val="00BF6E03"/>
    <w:rsid w:val="00C00F5B"/>
    <w:rsid w:val="00C06AF4"/>
    <w:rsid w:val="00C071E4"/>
    <w:rsid w:val="00C110DB"/>
    <w:rsid w:val="00C11245"/>
    <w:rsid w:val="00C12F90"/>
    <w:rsid w:val="00C1780B"/>
    <w:rsid w:val="00C17C3A"/>
    <w:rsid w:val="00C202BA"/>
    <w:rsid w:val="00C20CE7"/>
    <w:rsid w:val="00C20F66"/>
    <w:rsid w:val="00C2272D"/>
    <w:rsid w:val="00C22DE3"/>
    <w:rsid w:val="00C27CB3"/>
    <w:rsid w:val="00C30C76"/>
    <w:rsid w:val="00C315DC"/>
    <w:rsid w:val="00C33AB5"/>
    <w:rsid w:val="00C3406A"/>
    <w:rsid w:val="00C40491"/>
    <w:rsid w:val="00C47D87"/>
    <w:rsid w:val="00C576B5"/>
    <w:rsid w:val="00C57924"/>
    <w:rsid w:val="00C61F3B"/>
    <w:rsid w:val="00C668C6"/>
    <w:rsid w:val="00C6783F"/>
    <w:rsid w:val="00C74605"/>
    <w:rsid w:val="00C80BE8"/>
    <w:rsid w:val="00C84672"/>
    <w:rsid w:val="00C85C45"/>
    <w:rsid w:val="00C85F35"/>
    <w:rsid w:val="00C87171"/>
    <w:rsid w:val="00C87526"/>
    <w:rsid w:val="00C87535"/>
    <w:rsid w:val="00C91555"/>
    <w:rsid w:val="00C92895"/>
    <w:rsid w:val="00C9390B"/>
    <w:rsid w:val="00C9776C"/>
    <w:rsid w:val="00CB075F"/>
    <w:rsid w:val="00CB6328"/>
    <w:rsid w:val="00CB7E14"/>
    <w:rsid w:val="00CC329D"/>
    <w:rsid w:val="00CC3955"/>
    <w:rsid w:val="00CC5AB9"/>
    <w:rsid w:val="00CC5CC0"/>
    <w:rsid w:val="00CC7514"/>
    <w:rsid w:val="00CD4D4A"/>
    <w:rsid w:val="00CD71E2"/>
    <w:rsid w:val="00CD7C18"/>
    <w:rsid w:val="00CE2321"/>
    <w:rsid w:val="00CE4021"/>
    <w:rsid w:val="00CE63EB"/>
    <w:rsid w:val="00CE67AF"/>
    <w:rsid w:val="00CF2174"/>
    <w:rsid w:val="00CF22A3"/>
    <w:rsid w:val="00CF46BB"/>
    <w:rsid w:val="00CF6571"/>
    <w:rsid w:val="00D00259"/>
    <w:rsid w:val="00D02773"/>
    <w:rsid w:val="00D02ACD"/>
    <w:rsid w:val="00D05A07"/>
    <w:rsid w:val="00D06036"/>
    <w:rsid w:val="00D0737B"/>
    <w:rsid w:val="00D1074F"/>
    <w:rsid w:val="00D11CB6"/>
    <w:rsid w:val="00D14A5B"/>
    <w:rsid w:val="00D165E4"/>
    <w:rsid w:val="00D17558"/>
    <w:rsid w:val="00D2016E"/>
    <w:rsid w:val="00D24F66"/>
    <w:rsid w:val="00D25933"/>
    <w:rsid w:val="00D27207"/>
    <w:rsid w:val="00D3052B"/>
    <w:rsid w:val="00D332BE"/>
    <w:rsid w:val="00D3528D"/>
    <w:rsid w:val="00D35879"/>
    <w:rsid w:val="00D404D5"/>
    <w:rsid w:val="00D4316E"/>
    <w:rsid w:val="00D45DDA"/>
    <w:rsid w:val="00D46498"/>
    <w:rsid w:val="00D46610"/>
    <w:rsid w:val="00D51C2F"/>
    <w:rsid w:val="00D51F95"/>
    <w:rsid w:val="00D52B9B"/>
    <w:rsid w:val="00D56772"/>
    <w:rsid w:val="00D61C70"/>
    <w:rsid w:val="00D61EFD"/>
    <w:rsid w:val="00D64D58"/>
    <w:rsid w:val="00D66A15"/>
    <w:rsid w:val="00D71F98"/>
    <w:rsid w:val="00D77D7F"/>
    <w:rsid w:val="00D801AA"/>
    <w:rsid w:val="00D809D6"/>
    <w:rsid w:val="00D80B0D"/>
    <w:rsid w:val="00D82B71"/>
    <w:rsid w:val="00D841D9"/>
    <w:rsid w:val="00D84269"/>
    <w:rsid w:val="00D847E2"/>
    <w:rsid w:val="00D91021"/>
    <w:rsid w:val="00D93620"/>
    <w:rsid w:val="00D94E0A"/>
    <w:rsid w:val="00D972C7"/>
    <w:rsid w:val="00DA4405"/>
    <w:rsid w:val="00DA53CC"/>
    <w:rsid w:val="00DB0C83"/>
    <w:rsid w:val="00DB5088"/>
    <w:rsid w:val="00DB6F2C"/>
    <w:rsid w:val="00DB6FAE"/>
    <w:rsid w:val="00DC0ECB"/>
    <w:rsid w:val="00DC153D"/>
    <w:rsid w:val="00DC6E34"/>
    <w:rsid w:val="00DD4CC9"/>
    <w:rsid w:val="00DD57ED"/>
    <w:rsid w:val="00DE03F6"/>
    <w:rsid w:val="00DE1AF2"/>
    <w:rsid w:val="00DE4116"/>
    <w:rsid w:val="00DF3B31"/>
    <w:rsid w:val="00DF5091"/>
    <w:rsid w:val="00DF5BC8"/>
    <w:rsid w:val="00DF5D55"/>
    <w:rsid w:val="00E023D0"/>
    <w:rsid w:val="00E03E64"/>
    <w:rsid w:val="00E04E42"/>
    <w:rsid w:val="00E13B91"/>
    <w:rsid w:val="00E16E5C"/>
    <w:rsid w:val="00E2014B"/>
    <w:rsid w:val="00E23E32"/>
    <w:rsid w:val="00E247B5"/>
    <w:rsid w:val="00E24B05"/>
    <w:rsid w:val="00E25A27"/>
    <w:rsid w:val="00E30DE9"/>
    <w:rsid w:val="00E345D0"/>
    <w:rsid w:val="00E34A9F"/>
    <w:rsid w:val="00E35CE0"/>
    <w:rsid w:val="00E37142"/>
    <w:rsid w:val="00E437EC"/>
    <w:rsid w:val="00E4502A"/>
    <w:rsid w:val="00E51924"/>
    <w:rsid w:val="00E52F8B"/>
    <w:rsid w:val="00E569F5"/>
    <w:rsid w:val="00E57EDF"/>
    <w:rsid w:val="00E60850"/>
    <w:rsid w:val="00E6131C"/>
    <w:rsid w:val="00E615DB"/>
    <w:rsid w:val="00E61D82"/>
    <w:rsid w:val="00E627E1"/>
    <w:rsid w:val="00E666FE"/>
    <w:rsid w:val="00E70A44"/>
    <w:rsid w:val="00E716A0"/>
    <w:rsid w:val="00E72EA8"/>
    <w:rsid w:val="00E7409F"/>
    <w:rsid w:val="00E7413D"/>
    <w:rsid w:val="00E74FCB"/>
    <w:rsid w:val="00E76683"/>
    <w:rsid w:val="00E821C5"/>
    <w:rsid w:val="00E82FF5"/>
    <w:rsid w:val="00E8764A"/>
    <w:rsid w:val="00E90358"/>
    <w:rsid w:val="00E91DAA"/>
    <w:rsid w:val="00E92355"/>
    <w:rsid w:val="00E9269B"/>
    <w:rsid w:val="00E92947"/>
    <w:rsid w:val="00E936FF"/>
    <w:rsid w:val="00E93719"/>
    <w:rsid w:val="00E94DC6"/>
    <w:rsid w:val="00E94FFA"/>
    <w:rsid w:val="00E96A07"/>
    <w:rsid w:val="00EA16A5"/>
    <w:rsid w:val="00EA298C"/>
    <w:rsid w:val="00EA4448"/>
    <w:rsid w:val="00EA68DD"/>
    <w:rsid w:val="00EB0A18"/>
    <w:rsid w:val="00EB4914"/>
    <w:rsid w:val="00EB7474"/>
    <w:rsid w:val="00EB7780"/>
    <w:rsid w:val="00EB7DC4"/>
    <w:rsid w:val="00EC1F87"/>
    <w:rsid w:val="00EC20B9"/>
    <w:rsid w:val="00EC284E"/>
    <w:rsid w:val="00EC3006"/>
    <w:rsid w:val="00EC6DB2"/>
    <w:rsid w:val="00ED1749"/>
    <w:rsid w:val="00ED2284"/>
    <w:rsid w:val="00ED2AB0"/>
    <w:rsid w:val="00ED2B7E"/>
    <w:rsid w:val="00ED3661"/>
    <w:rsid w:val="00ED3860"/>
    <w:rsid w:val="00ED46F4"/>
    <w:rsid w:val="00EE62BA"/>
    <w:rsid w:val="00EE7A01"/>
    <w:rsid w:val="00EF1091"/>
    <w:rsid w:val="00EF1BCE"/>
    <w:rsid w:val="00EF53AA"/>
    <w:rsid w:val="00EF58AE"/>
    <w:rsid w:val="00EF63C6"/>
    <w:rsid w:val="00F00B77"/>
    <w:rsid w:val="00F03EC2"/>
    <w:rsid w:val="00F059D9"/>
    <w:rsid w:val="00F074A8"/>
    <w:rsid w:val="00F11598"/>
    <w:rsid w:val="00F15188"/>
    <w:rsid w:val="00F22156"/>
    <w:rsid w:val="00F25344"/>
    <w:rsid w:val="00F2563F"/>
    <w:rsid w:val="00F26884"/>
    <w:rsid w:val="00F31F57"/>
    <w:rsid w:val="00F32372"/>
    <w:rsid w:val="00F33E17"/>
    <w:rsid w:val="00F364B5"/>
    <w:rsid w:val="00F36D0D"/>
    <w:rsid w:val="00F37013"/>
    <w:rsid w:val="00F370E9"/>
    <w:rsid w:val="00F40EE6"/>
    <w:rsid w:val="00F426AC"/>
    <w:rsid w:val="00F43D3B"/>
    <w:rsid w:val="00F441BD"/>
    <w:rsid w:val="00F441DF"/>
    <w:rsid w:val="00F44487"/>
    <w:rsid w:val="00F45169"/>
    <w:rsid w:val="00F45A81"/>
    <w:rsid w:val="00F4614D"/>
    <w:rsid w:val="00F5342E"/>
    <w:rsid w:val="00F573C7"/>
    <w:rsid w:val="00F613B2"/>
    <w:rsid w:val="00F66840"/>
    <w:rsid w:val="00F70745"/>
    <w:rsid w:val="00F749EA"/>
    <w:rsid w:val="00F80D34"/>
    <w:rsid w:val="00F81F13"/>
    <w:rsid w:val="00F82F76"/>
    <w:rsid w:val="00F83700"/>
    <w:rsid w:val="00F842D3"/>
    <w:rsid w:val="00F84754"/>
    <w:rsid w:val="00F84D9F"/>
    <w:rsid w:val="00F8588C"/>
    <w:rsid w:val="00F85F62"/>
    <w:rsid w:val="00F9028E"/>
    <w:rsid w:val="00F90306"/>
    <w:rsid w:val="00F9459D"/>
    <w:rsid w:val="00F96399"/>
    <w:rsid w:val="00FA3D79"/>
    <w:rsid w:val="00FA7D6B"/>
    <w:rsid w:val="00FB097B"/>
    <w:rsid w:val="00FB47C9"/>
    <w:rsid w:val="00FB4D37"/>
    <w:rsid w:val="00FB51E6"/>
    <w:rsid w:val="00FC22D8"/>
    <w:rsid w:val="00FC2B88"/>
    <w:rsid w:val="00FD09F3"/>
    <w:rsid w:val="00FD17BA"/>
    <w:rsid w:val="00FD2ABE"/>
    <w:rsid w:val="00FE209D"/>
    <w:rsid w:val="00FE57F9"/>
    <w:rsid w:val="00FE600E"/>
    <w:rsid w:val="00FE752E"/>
    <w:rsid w:val="00FF0270"/>
    <w:rsid w:val="00FF0878"/>
    <w:rsid w:val="00FF57BF"/>
    <w:rsid w:val="00FF5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7705F"/>
  <w15:docId w15:val="{905B5D3A-842A-4BE4-BFB8-895B63F0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627E1"/>
    <w:rPr>
      <w:sz w:val="24"/>
      <w:szCs w:val="24"/>
      <w:lang w:eastAsia="en-US"/>
    </w:rPr>
  </w:style>
  <w:style w:type="paragraph" w:styleId="Virsraksts1">
    <w:name w:val="heading 1"/>
    <w:basedOn w:val="Parasts"/>
    <w:next w:val="Parasts"/>
    <w:link w:val="Virsraksts1Rakstz"/>
    <w:qFormat/>
    <w:rsid w:val="004C5769"/>
    <w:pPr>
      <w:keepNext/>
      <w:keepLines/>
      <w:numPr>
        <w:numId w:val="7"/>
      </w:numPr>
      <w:spacing w:before="120" w:after="120"/>
      <w:jc w:val="center"/>
      <w:outlineLvl w:val="0"/>
    </w:pPr>
    <w:rPr>
      <w:b/>
      <w:bCs/>
      <w:caps/>
      <w:szCs w:val="28"/>
    </w:rPr>
  </w:style>
  <w:style w:type="paragraph" w:styleId="Virsraksts2">
    <w:name w:val="heading 2"/>
    <w:basedOn w:val="Parasts"/>
    <w:next w:val="Parasts"/>
    <w:link w:val="Virsraksts2Rakstz"/>
    <w:qFormat/>
    <w:rsid w:val="004C5769"/>
    <w:pPr>
      <w:keepNext/>
      <w:keepLines/>
      <w:numPr>
        <w:ilvl w:val="1"/>
        <w:numId w:val="7"/>
      </w:numPr>
      <w:spacing w:before="120" w:after="120"/>
      <w:ind w:left="1296"/>
      <w:outlineLvl w:val="1"/>
    </w:pPr>
    <w:rPr>
      <w:b/>
      <w:bCs/>
      <w:szCs w:val="26"/>
    </w:rPr>
  </w:style>
  <w:style w:type="paragraph" w:styleId="Virsraksts3">
    <w:name w:val="heading 3"/>
    <w:basedOn w:val="Parasts"/>
    <w:next w:val="Parasts"/>
    <w:qFormat/>
    <w:rsid w:val="004C5769"/>
    <w:pPr>
      <w:keepNext/>
      <w:keepLines/>
      <w:numPr>
        <w:ilvl w:val="2"/>
        <w:numId w:val="7"/>
      </w:numPr>
      <w:spacing w:before="200" w:line="276" w:lineRule="auto"/>
      <w:outlineLvl w:val="2"/>
    </w:pPr>
    <w:rPr>
      <w:rFonts w:ascii="Cambria" w:hAnsi="Cambria"/>
      <w:b/>
      <w:bCs/>
      <w:color w:val="4F81BD"/>
      <w:sz w:val="22"/>
      <w:szCs w:val="22"/>
    </w:rPr>
  </w:style>
  <w:style w:type="paragraph" w:styleId="Virsraksts4">
    <w:name w:val="heading 4"/>
    <w:basedOn w:val="Parasts"/>
    <w:next w:val="Parasts"/>
    <w:qFormat/>
    <w:rsid w:val="004C5769"/>
    <w:pPr>
      <w:keepNext/>
      <w:keepLines/>
      <w:numPr>
        <w:ilvl w:val="3"/>
        <w:numId w:val="7"/>
      </w:numPr>
      <w:spacing w:before="200" w:line="276" w:lineRule="auto"/>
      <w:outlineLvl w:val="3"/>
    </w:pPr>
    <w:rPr>
      <w:rFonts w:ascii="Cambria" w:hAnsi="Cambria"/>
      <w:b/>
      <w:bCs/>
      <w:i/>
      <w:iCs/>
      <w:color w:val="4F81BD"/>
      <w:sz w:val="22"/>
      <w:szCs w:val="22"/>
    </w:rPr>
  </w:style>
  <w:style w:type="paragraph" w:styleId="Virsraksts5">
    <w:name w:val="heading 5"/>
    <w:basedOn w:val="Parasts"/>
    <w:next w:val="Parasts"/>
    <w:qFormat/>
    <w:rsid w:val="004C5769"/>
    <w:pPr>
      <w:keepNext/>
      <w:keepLines/>
      <w:numPr>
        <w:ilvl w:val="4"/>
        <w:numId w:val="7"/>
      </w:numPr>
      <w:spacing w:before="200" w:line="276" w:lineRule="auto"/>
      <w:outlineLvl w:val="4"/>
    </w:pPr>
    <w:rPr>
      <w:rFonts w:ascii="Cambria" w:hAnsi="Cambria"/>
      <w:color w:val="243F60"/>
      <w:sz w:val="22"/>
      <w:szCs w:val="22"/>
    </w:rPr>
  </w:style>
  <w:style w:type="paragraph" w:styleId="Virsraksts6">
    <w:name w:val="heading 6"/>
    <w:basedOn w:val="Parasts"/>
    <w:next w:val="Parasts"/>
    <w:qFormat/>
    <w:rsid w:val="004C5769"/>
    <w:pPr>
      <w:keepNext/>
      <w:keepLines/>
      <w:numPr>
        <w:ilvl w:val="5"/>
        <w:numId w:val="7"/>
      </w:numPr>
      <w:spacing w:before="200" w:line="276" w:lineRule="auto"/>
      <w:outlineLvl w:val="5"/>
    </w:pPr>
    <w:rPr>
      <w:rFonts w:ascii="Cambria" w:hAnsi="Cambria"/>
      <w:i/>
      <w:iCs/>
      <w:color w:val="243F60"/>
      <w:sz w:val="22"/>
      <w:szCs w:val="22"/>
    </w:rPr>
  </w:style>
  <w:style w:type="paragraph" w:styleId="Virsraksts7">
    <w:name w:val="heading 7"/>
    <w:basedOn w:val="Parasts"/>
    <w:next w:val="Parasts"/>
    <w:qFormat/>
    <w:rsid w:val="004C5769"/>
    <w:pPr>
      <w:keepNext/>
      <w:keepLines/>
      <w:numPr>
        <w:ilvl w:val="6"/>
        <w:numId w:val="7"/>
      </w:numPr>
      <w:spacing w:before="200" w:line="276" w:lineRule="auto"/>
      <w:outlineLvl w:val="6"/>
    </w:pPr>
    <w:rPr>
      <w:rFonts w:ascii="Cambria" w:hAnsi="Cambria"/>
      <w:i/>
      <w:iCs/>
      <w:color w:val="404040"/>
      <w:sz w:val="22"/>
      <w:szCs w:val="22"/>
    </w:rPr>
  </w:style>
  <w:style w:type="paragraph" w:styleId="Virsraksts8">
    <w:name w:val="heading 8"/>
    <w:basedOn w:val="Parasts"/>
    <w:next w:val="Parasts"/>
    <w:qFormat/>
    <w:rsid w:val="004C5769"/>
    <w:pPr>
      <w:keepNext/>
      <w:keepLines/>
      <w:numPr>
        <w:ilvl w:val="7"/>
        <w:numId w:val="7"/>
      </w:numPr>
      <w:spacing w:before="200" w:line="276" w:lineRule="auto"/>
      <w:outlineLvl w:val="7"/>
    </w:pPr>
    <w:rPr>
      <w:rFonts w:ascii="Cambria" w:hAnsi="Cambria"/>
      <w:color w:val="404040"/>
      <w:sz w:val="20"/>
      <w:szCs w:val="20"/>
    </w:rPr>
  </w:style>
  <w:style w:type="paragraph" w:styleId="Virsraksts9">
    <w:name w:val="heading 9"/>
    <w:basedOn w:val="Parasts"/>
    <w:next w:val="Parasts"/>
    <w:qFormat/>
    <w:rsid w:val="004C5769"/>
    <w:pPr>
      <w:keepNext/>
      <w:keepLines/>
      <w:numPr>
        <w:ilvl w:val="8"/>
        <w:numId w:val="7"/>
      </w:numPr>
      <w:spacing w:before="200" w:line="276" w:lineRule="auto"/>
      <w:outlineLvl w:val="8"/>
    </w:pPr>
    <w:rPr>
      <w:rFonts w:ascii="Cambria"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1F3A1A"/>
    <w:pPr>
      <w:spacing w:line="360" w:lineRule="auto"/>
      <w:ind w:firstLine="567"/>
      <w:jc w:val="both"/>
    </w:pPr>
    <w:rPr>
      <w:sz w:val="26"/>
    </w:rPr>
  </w:style>
  <w:style w:type="character" w:customStyle="1" w:styleId="PamattekstsaratkpiRakstz">
    <w:name w:val="Pamatteksts ar atkāpi Rakstz."/>
    <w:link w:val="Pamattekstsaratkpi"/>
    <w:rsid w:val="001F3A1A"/>
    <w:rPr>
      <w:sz w:val="26"/>
      <w:szCs w:val="24"/>
      <w:lang w:val="lv-LV" w:eastAsia="en-US" w:bidi="ar-SA"/>
    </w:rPr>
  </w:style>
  <w:style w:type="paragraph" w:styleId="Pamattekstaatkpe2">
    <w:name w:val="Body Text Indent 2"/>
    <w:basedOn w:val="Parasts"/>
    <w:rsid w:val="001F3A1A"/>
    <w:pPr>
      <w:spacing w:after="120" w:line="480" w:lineRule="auto"/>
      <w:ind w:left="283"/>
    </w:pPr>
  </w:style>
  <w:style w:type="paragraph" w:styleId="Tekstabloks">
    <w:name w:val="Block Text"/>
    <w:basedOn w:val="Parasts"/>
    <w:rsid w:val="001F3A1A"/>
    <w:pPr>
      <w:spacing w:line="360" w:lineRule="auto"/>
      <w:ind w:firstLine="567"/>
      <w:jc w:val="both"/>
    </w:pPr>
    <w:rPr>
      <w:sz w:val="26"/>
    </w:rPr>
  </w:style>
  <w:style w:type="paragraph" w:styleId="Pamattekstaatkpe3">
    <w:name w:val="Body Text Indent 3"/>
    <w:basedOn w:val="Parasts"/>
    <w:rsid w:val="00CC5AB9"/>
    <w:pPr>
      <w:spacing w:after="120"/>
      <w:ind w:left="283"/>
    </w:pPr>
    <w:rPr>
      <w:sz w:val="16"/>
      <w:szCs w:val="16"/>
    </w:rPr>
  </w:style>
  <w:style w:type="paragraph" w:customStyle="1" w:styleId="ListParagraph1">
    <w:name w:val="List Paragraph1"/>
    <w:basedOn w:val="Parasts"/>
    <w:qFormat/>
    <w:rsid w:val="004C5769"/>
    <w:pPr>
      <w:spacing w:after="200" w:line="276" w:lineRule="auto"/>
      <w:ind w:left="720"/>
      <w:contextualSpacing/>
    </w:pPr>
    <w:rPr>
      <w:rFonts w:ascii="Calibri" w:eastAsia="Calibri" w:hAnsi="Calibri"/>
      <w:sz w:val="22"/>
      <w:szCs w:val="22"/>
    </w:rPr>
  </w:style>
  <w:style w:type="character" w:customStyle="1" w:styleId="Virsraksts2Rakstz">
    <w:name w:val="Virsraksts 2 Rakstz."/>
    <w:link w:val="Virsraksts2"/>
    <w:rsid w:val="004C5769"/>
    <w:rPr>
      <w:b/>
      <w:bCs/>
      <w:sz w:val="24"/>
      <w:szCs w:val="26"/>
      <w:lang w:eastAsia="en-US"/>
    </w:rPr>
  </w:style>
  <w:style w:type="character" w:customStyle="1" w:styleId="Virsraksts1Rakstz">
    <w:name w:val="Virsraksts 1 Rakstz."/>
    <w:link w:val="Virsraksts1"/>
    <w:rsid w:val="002F2161"/>
    <w:rPr>
      <w:b/>
      <w:bCs/>
      <w:caps/>
      <w:sz w:val="24"/>
      <w:szCs w:val="28"/>
      <w:lang w:eastAsia="en-US"/>
    </w:rPr>
  </w:style>
  <w:style w:type="paragraph" w:customStyle="1" w:styleId="Nodala">
    <w:name w:val="Nodala"/>
    <w:basedOn w:val="Pamattekstsaratkpi"/>
    <w:rsid w:val="002820E7"/>
    <w:pPr>
      <w:spacing w:after="360" w:line="240" w:lineRule="auto"/>
      <w:ind w:firstLine="0"/>
      <w:jc w:val="center"/>
    </w:pPr>
    <w:rPr>
      <w:b/>
      <w:bCs/>
      <w:iCs/>
      <w:sz w:val="28"/>
      <w:szCs w:val="26"/>
    </w:rPr>
  </w:style>
  <w:style w:type="paragraph" w:styleId="Saturs1">
    <w:name w:val="toc 1"/>
    <w:basedOn w:val="Parasts"/>
    <w:next w:val="Parasts"/>
    <w:autoRedefine/>
    <w:uiPriority w:val="39"/>
    <w:rsid w:val="002820E7"/>
    <w:pPr>
      <w:tabs>
        <w:tab w:val="right" w:leader="dot" w:pos="9061"/>
      </w:tabs>
    </w:pPr>
  </w:style>
  <w:style w:type="character" w:styleId="Hipersaite">
    <w:name w:val="Hyperlink"/>
    <w:uiPriority w:val="99"/>
    <w:rsid w:val="00343A8B"/>
    <w:rPr>
      <w:color w:val="0000FF"/>
      <w:u w:val="single"/>
    </w:rPr>
  </w:style>
  <w:style w:type="paragraph" w:styleId="Galvene">
    <w:name w:val="header"/>
    <w:basedOn w:val="Parasts"/>
    <w:rsid w:val="005130D4"/>
    <w:pPr>
      <w:tabs>
        <w:tab w:val="center" w:pos="4153"/>
        <w:tab w:val="right" w:pos="8306"/>
      </w:tabs>
    </w:pPr>
  </w:style>
  <w:style w:type="paragraph" w:styleId="Kjene">
    <w:name w:val="footer"/>
    <w:basedOn w:val="Parasts"/>
    <w:link w:val="KjeneRakstz"/>
    <w:uiPriority w:val="99"/>
    <w:rsid w:val="005130D4"/>
    <w:pPr>
      <w:tabs>
        <w:tab w:val="center" w:pos="4153"/>
        <w:tab w:val="right" w:pos="8306"/>
      </w:tabs>
    </w:pPr>
  </w:style>
  <w:style w:type="paragraph" w:styleId="Sarakstarindkopa">
    <w:name w:val="List Paragraph"/>
    <w:basedOn w:val="Parasts"/>
    <w:qFormat/>
    <w:rsid w:val="000F3695"/>
    <w:pPr>
      <w:spacing w:after="200" w:line="276" w:lineRule="auto"/>
      <w:ind w:left="720"/>
      <w:contextualSpacing/>
    </w:pPr>
    <w:rPr>
      <w:rFonts w:ascii="Calibri" w:eastAsia="Calibri" w:hAnsi="Calibri"/>
      <w:sz w:val="22"/>
      <w:szCs w:val="22"/>
    </w:rPr>
  </w:style>
  <w:style w:type="paragraph" w:styleId="Paraststmeklis">
    <w:name w:val="Normal (Web)"/>
    <w:basedOn w:val="Parasts"/>
    <w:rsid w:val="0024693D"/>
    <w:rPr>
      <w:lang w:eastAsia="lv-LV"/>
    </w:rPr>
  </w:style>
  <w:style w:type="character" w:styleId="Lappusesnumurs">
    <w:name w:val="page number"/>
    <w:basedOn w:val="Noklusjumarindkopasfonts"/>
    <w:rsid w:val="00A072F4"/>
  </w:style>
  <w:style w:type="paragraph" w:styleId="Apakvirsraksts">
    <w:name w:val="Subtitle"/>
    <w:basedOn w:val="Parasts"/>
    <w:next w:val="Parasts"/>
    <w:link w:val="ApakvirsrakstsRakstz"/>
    <w:qFormat/>
    <w:rsid w:val="00C47D87"/>
    <w:pPr>
      <w:spacing w:after="60"/>
      <w:jc w:val="center"/>
      <w:outlineLvl w:val="1"/>
    </w:pPr>
    <w:rPr>
      <w:rFonts w:ascii="Cambria" w:hAnsi="Cambria"/>
    </w:rPr>
  </w:style>
  <w:style w:type="character" w:customStyle="1" w:styleId="ApakvirsrakstsRakstz">
    <w:name w:val="Apakšvirsraksts Rakstz."/>
    <w:link w:val="Apakvirsraksts"/>
    <w:rsid w:val="00C47D87"/>
    <w:rPr>
      <w:rFonts w:ascii="Cambria" w:eastAsia="Times New Roman" w:hAnsi="Cambria" w:cs="Times New Roman"/>
      <w:sz w:val="24"/>
      <w:szCs w:val="24"/>
      <w:lang w:eastAsia="en-US"/>
    </w:rPr>
  </w:style>
  <w:style w:type="paragraph" w:styleId="Balonteksts">
    <w:name w:val="Balloon Text"/>
    <w:basedOn w:val="Parasts"/>
    <w:link w:val="BalontekstsRakstz"/>
    <w:rsid w:val="00F8588C"/>
    <w:rPr>
      <w:rFonts w:ascii="Tahoma" w:hAnsi="Tahoma" w:cs="Tahoma"/>
      <w:sz w:val="16"/>
      <w:szCs w:val="16"/>
    </w:rPr>
  </w:style>
  <w:style w:type="character" w:customStyle="1" w:styleId="BalontekstsRakstz">
    <w:name w:val="Balonteksts Rakstz."/>
    <w:link w:val="Balonteksts"/>
    <w:rsid w:val="00F8588C"/>
    <w:rPr>
      <w:rFonts w:ascii="Tahoma" w:hAnsi="Tahoma" w:cs="Tahoma"/>
      <w:sz w:val="16"/>
      <w:szCs w:val="16"/>
      <w:lang w:eastAsia="en-US"/>
    </w:rPr>
  </w:style>
  <w:style w:type="character" w:customStyle="1" w:styleId="KjeneRakstz">
    <w:name w:val="Kājene Rakstz."/>
    <w:basedOn w:val="Noklusjumarindkopasfonts"/>
    <w:link w:val="Kjene"/>
    <w:uiPriority w:val="99"/>
    <w:rsid w:val="00A121DB"/>
    <w:rPr>
      <w:sz w:val="24"/>
      <w:szCs w:val="24"/>
      <w:lang w:eastAsia="en-US"/>
    </w:rPr>
  </w:style>
  <w:style w:type="character" w:styleId="Izteiksmgs">
    <w:name w:val="Strong"/>
    <w:basedOn w:val="Noklusjumarindkopasfonts"/>
    <w:qFormat/>
    <w:rsid w:val="00D93620"/>
    <w:rPr>
      <w:b/>
      <w:bCs/>
    </w:rPr>
  </w:style>
  <w:style w:type="character" w:styleId="Izclums">
    <w:name w:val="Emphasis"/>
    <w:basedOn w:val="Noklusjumarindkopasfonts"/>
    <w:qFormat/>
    <w:rsid w:val="00780D27"/>
    <w:rPr>
      <w:i/>
      <w:iCs/>
    </w:rPr>
  </w:style>
  <w:style w:type="paragraph" w:styleId="Nosaukums">
    <w:name w:val="Title"/>
    <w:basedOn w:val="Parasts"/>
    <w:next w:val="Parasts"/>
    <w:link w:val="NosaukumsRakstz"/>
    <w:qFormat/>
    <w:rsid w:val="00780D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rsid w:val="00780D27"/>
    <w:rPr>
      <w:rFonts w:asciiTheme="majorHAnsi" w:eastAsiaTheme="majorEastAsia" w:hAnsiTheme="majorHAnsi" w:cstheme="majorBidi"/>
      <w:color w:val="17365D" w:themeColor="text2" w:themeShade="BF"/>
      <w:spacing w:val="5"/>
      <w:kern w:val="28"/>
      <w:sz w:val="52"/>
      <w:szCs w:val="52"/>
      <w:lang w:eastAsia="en-US"/>
    </w:rPr>
  </w:style>
  <w:style w:type="character" w:styleId="Vietturateksts">
    <w:name w:val="Placeholder Text"/>
    <w:basedOn w:val="Noklusjumarindkopasfonts"/>
    <w:uiPriority w:val="99"/>
    <w:semiHidden/>
    <w:rsid w:val="00F81F13"/>
    <w:rPr>
      <w:color w:val="808080"/>
    </w:rPr>
  </w:style>
  <w:style w:type="table" w:styleId="Reatabula">
    <w:name w:val="Table Grid"/>
    <w:basedOn w:val="Parastatabula"/>
    <w:rsid w:val="006F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semiHidden/>
    <w:unhideWhenUsed/>
    <w:qFormat/>
    <w:rsid w:val="00BF54D7"/>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val="en-US"/>
    </w:rPr>
  </w:style>
  <w:style w:type="paragraph" w:styleId="Saturs2">
    <w:name w:val="toc 2"/>
    <w:basedOn w:val="Parasts"/>
    <w:next w:val="Parasts"/>
    <w:autoRedefine/>
    <w:uiPriority w:val="39"/>
    <w:rsid w:val="00BF54D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1892">
      <w:bodyDiv w:val="1"/>
      <w:marLeft w:val="0"/>
      <w:marRight w:val="0"/>
      <w:marTop w:val="0"/>
      <w:marBottom w:val="0"/>
      <w:divBdr>
        <w:top w:val="none" w:sz="0" w:space="0" w:color="auto"/>
        <w:left w:val="none" w:sz="0" w:space="0" w:color="auto"/>
        <w:bottom w:val="none" w:sz="0" w:space="0" w:color="auto"/>
        <w:right w:val="none" w:sz="0" w:space="0" w:color="auto"/>
      </w:divBdr>
    </w:div>
    <w:div w:id="269239588">
      <w:bodyDiv w:val="1"/>
      <w:marLeft w:val="0"/>
      <w:marRight w:val="0"/>
      <w:marTop w:val="0"/>
      <w:marBottom w:val="0"/>
      <w:divBdr>
        <w:top w:val="none" w:sz="0" w:space="0" w:color="auto"/>
        <w:left w:val="none" w:sz="0" w:space="0" w:color="auto"/>
        <w:bottom w:val="none" w:sz="0" w:space="0" w:color="auto"/>
        <w:right w:val="none" w:sz="0" w:space="0" w:color="auto"/>
      </w:divBdr>
    </w:div>
    <w:div w:id="569267352">
      <w:bodyDiv w:val="1"/>
      <w:marLeft w:val="0"/>
      <w:marRight w:val="0"/>
      <w:marTop w:val="0"/>
      <w:marBottom w:val="0"/>
      <w:divBdr>
        <w:top w:val="none" w:sz="0" w:space="0" w:color="auto"/>
        <w:left w:val="none" w:sz="0" w:space="0" w:color="auto"/>
        <w:bottom w:val="none" w:sz="0" w:space="0" w:color="auto"/>
        <w:right w:val="none" w:sz="0" w:space="0" w:color="auto"/>
      </w:divBdr>
    </w:div>
    <w:div w:id="836578380">
      <w:bodyDiv w:val="1"/>
      <w:marLeft w:val="0"/>
      <w:marRight w:val="0"/>
      <w:marTop w:val="0"/>
      <w:marBottom w:val="0"/>
      <w:divBdr>
        <w:top w:val="none" w:sz="0" w:space="0" w:color="auto"/>
        <w:left w:val="none" w:sz="0" w:space="0" w:color="auto"/>
        <w:bottom w:val="none" w:sz="0" w:space="0" w:color="auto"/>
        <w:right w:val="none" w:sz="0" w:space="0" w:color="auto"/>
      </w:divBdr>
    </w:div>
    <w:div w:id="846483304">
      <w:bodyDiv w:val="1"/>
      <w:marLeft w:val="0"/>
      <w:marRight w:val="0"/>
      <w:marTop w:val="0"/>
      <w:marBottom w:val="0"/>
      <w:divBdr>
        <w:top w:val="none" w:sz="0" w:space="0" w:color="auto"/>
        <w:left w:val="none" w:sz="0" w:space="0" w:color="auto"/>
        <w:bottom w:val="none" w:sz="0" w:space="0" w:color="auto"/>
        <w:right w:val="none" w:sz="0" w:space="0" w:color="auto"/>
      </w:divBdr>
    </w:div>
    <w:div w:id="1032345646">
      <w:bodyDiv w:val="1"/>
      <w:marLeft w:val="0"/>
      <w:marRight w:val="0"/>
      <w:marTop w:val="0"/>
      <w:marBottom w:val="0"/>
      <w:divBdr>
        <w:top w:val="none" w:sz="0" w:space="0" w:color="auto"/>
        <w:left w:val="none" w:sz="0" w:space="0" w:color="auto"/>
        <w:bottom w:val="none" w:sz="0" w:space="0" w:color="auto"/>
        <w:right w:val="none" w:sz="0" w:space="0" w:color="auto"/>
      </w:divBdr>
    </w:div>
    <w:div w:id="1282687746">
      <w:bodyDiv w:val="1"/>
      <w:marLeft w:val="0"/>
      <w:marRight w:val="0"/>
      <w:marTop w:val="0"/>
      <w:marBottom w:val="0"/>
      <w:divBdr>
        <w:top w:val="none" w:sz="0" w:space="0" w:color="auto"/>
        <w:left w:val="none" w:sz="0" w:space="0" w:color="auto"/>
        <w:bottom w:val="none" w:sz="0" w:space="0" w:color="auto"/>
        <w:right w:val="none" w:sz="0" w:space="0" w:color="auto"/>
      </w:divBdr>
    </w:div>
    <w:div w:id="1374427640">
      <w:bodyDiv w:val="1"/>
      <w:marLeft w:val="0"/>
      <w:marRight w:val="0"/>
      <w:marTop w:val="0"/>
      <w:marBottom w:val="0"/>
      <w:divBdr>
        <w:top w:val="none" w:sz="0" w:space="0" w:color="auto"/>
        <w:left w:val="none" w:sz="0" w:space="0" w:color="auto"/>
        <w:bottom w:val="none" w:sz="0" w:space="0" w:color="auto"/>
        <w:right w:val="none" w:sz="0" w:space="0" w:color="auto"/>
      </w:divBdr>
    </w:div>
    <w:div w:id="1694842965">
      <w:bodyDiv w:val="1"/>
      <w:marLeft w:val="0"/>
      <w:marRight w:val="0"/>
      <w:marTop w:val="0"/>
      <w:marBottom w:val="0"/>
      <w:divBdr>
        <w:top w:val="none" w:sz="0" w:space="0" w:color="auto"/>
        <w:left w:val="none" w:sz="0" w:space="0" w:color="auto"/>
        <w:bottom w:val="none" w:sz="0" w:space="0" w:color="auto"/>
        <w:right w:val="none" w:sz="0" w:space="0" w:color="auto"/>
      </w:divBdr>
    </w:div>
    <w:div w:id="1737704124">
      <w:bodyDiv w:val="1"/>
      <w:marLeft w:val="0"/>
      <w:marRight w:val="0"/>
      <w:marTop w:val="0"/>
      <w:marBottom w:val="0"/>
      <w:divBdr>
        <w:top w:val="none" w:sz="0" w:space="0" w:color="auto"/>
        <w:left w:val="none" w:sz="0" w:space="0" w:color="auto"/>
        <w:bottom w:val="none" w:sz="0" w:space="0" w:color="auto"/>
        <w:right w:val="none" w:sz="0" w:space="0" w:color="auto"/>
      </w:divBdr>
    </w:div>
    <w:div w:id="20065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Sheet3!$A$2:$A$8</c:f>
              <c:strCache>
                <c:ptCount val="7"/>
                <c:pt idx="0">
                  <c:v>SILTUMS</c:v>
                </c:pt>
                <c:pt idx="1">
                  <c:v>ELEKTRĪBAS RAŽOŠANA</c:v>
                </c:pt>
                <c:pt idx="2">
                  <c:v>APSAIMNIEKOŠANA</c:v>
                </c:pt>
                <c:pt idx="3">
                  <c:v>KANALIZĀCIJA</c:v>
                </c:pt>
                <c:pt idx="4">
                  <c:v>PĀRĒJIE IEŅĒMUMI</c:v>
                </c:pt>
                <c:pt idx="5">
                  <c:v>ŪDENS</c:v>
                </c:pt>
                <c:pt idx="6">
                  <c:v>ATKRITUMI</c:v>
                </c:pt>
              </c:strCache>
            </c:strRef>
          </c:cat>
          <c:val>
            <c:numRef>
              <c:f>Sheet3!$B$2:$B$8</c:f>
              <c:numCache>
                <c:formatCode>General</c:formatCode>
                <c:ptCount val="7"/>
                <c:pt idx="0">
                  <c:v>30.9</c:v>
                </c:pt>
                <c:pt idx="1">
                  <c:v>28.5</c:v>
                </c:pt>
                <c:pt idx="2">
                  <c:v>18.600000000000001</c:v>
                </c:pt>
                <c:pt idx="3">
                  <c:v>7.5</c:v>
                </c:pt>
                <c:pt idx="4">
                  <c:v>7.1</c:v>
                </c:pt>
                <c:pt idx="5">
                  <c:v>4.5</c:v>
                </c:pt>
                <c:pt idx="6">
                  <c:v>2.9</c:v>
                </c:pt>
              </c:numCache>
            </c:numRef>
          </c:val>
          <c:extLst>
            <c:ext xmlns:c16="http://schemas.microsoft.com/office/drawing/2014/chart" uri="{C3380CC4-5D6E-409C-BE32-E72D297353CC}">
              <c16:uniqueId val="{00000000-397B-40EC-ADD5-649ECF65FDC1}"/>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Sheet3!$A$29:$A$35</c:f>
              <c:strCache>
                <c:ptCount val="7"/>
                <c:pt idx="0">
                  <c:v>SILTUMS</c:v>
                </c:pt>
                <c:pt idx="1">
                  <c:v>ELEKTRĪBAS RAŽOŠANA</c:v>
                </c:pt>
                <c:pt idx="2">
                  <c:v>APSAIMNIEKOŠANA</c:v>
                </c:pt>
                <c:pt idx="3">
                  <c:v>KANALIZĀCIJA</c:v>
                </c:pt>
                <c:pt idx="4">
                  <c:v>PĀRĒJIE IEŅĒMUMI (no blakus darbības)</c:v>
                </c:pt>
                <c:pt idx="5">
                  <c:v>ŪDENS</c:v>
                </c:pt>
                <c:pt idx="6">
                  <c:v>ATKRITUMI</c:v>
                </c:pt>
              </c:strCache>
            </c:strRef>
          </c:cat>
          <c:val>
            <c:numRef>
              <c:f>Sheet3!$B$29:$B$35</c:f>
              <c:numCache>
                <c:formatCode>General</c:formatCode>
                <c:ptCount val="7"/>
                <c:pt idx="0">
                  <c:v>31.5</c:v>
                </c:pt>
                <c:pt idx="1">
                  <c:v>28.5</c:v>
                </c:pt>
                <c:pt idx="2">
                  <c:v>18.600000000000001</c:v>
                </c:pt>
                <c:pt idx="3">
                  <c:v>7.8</c:v>
                </c:pt>
                <c:pt idx="4">
                  <c:v>6.5</c:v>
                </c:pt>
                <c:pt idx="5">
                  <c:v>4.3</c:v>
                </c:pt>
                <c:pt idx="6">
                  <c:v>2.8</c:v>
                </c:pt>
              </c:numCache>
            </c:numRef>
          </c:val>
          <c:extLst>
            <c:ext xmlns:c16="http://schemas.microsoft.com/office/drawing/2014/chart" uri="{C3380CC4-5D6E-409C-BE32-E72D297353CC}">
              <c16:uniqueId val="{00000000-DCF8-47A0-80B4-3C4ABAB3A97C}"/>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Sheet1!$C$4</c:f>
              <c:strCache>
                <c:ptCount val="1"/>
                <c:pt idx="0">
                  <c:v>2017.gads</c:v>
                </c:pt>
              </c:strCache>
            </c:strRef>
          </c:tx>
          <c:invertIfNegative val="0"/>
          <c:cat>
            <c:strRef>
              <c:f>Sheet1!$B$5:$B$11</c:f>
              <c:strCache>
                <c:ptCount val="7"/>
                <c:pt idx="0">
                  <c:v>Siltums</c:v>
                </c:pt>
                <c:pt idx="1">
                  <c:v>Ūdens</c:v>
                </c:pt>
                <c:pt idx="2">
                  <c:v>Kanalizācija</c:v>
                </c:pt>
                <c:pt idx="3">
                  <c:v>Apsaimniekošana</c:v>
                </c:pt>
                <c:pt idx="4">
                  <c:v>Koģenerācija</c:v>
                </c:pt>
                <c:pt idx="5">
                  <c:v>Atkritumi</c:v>
                </c:pt>
                <c:pt idx="6">
                  <c:v>Pārējie</c:v>
                </c:pt>
              </c:strCache>
            </c:strRef>
          </c:cat>
          <c:val>
            <c:numRef>
              <c:f>Sheet1!$C$5:$C$11</c:f>
              <c:numCache>
                <c:formatCode>General</c:formatCode>
                <c:ptCount val="7"/>
                <c:pt idx="0">
                  <c:v>365.2</c:v>
                </c:pt>
                <c:pt idx="1">
                  <c:v>46.1</c:v>
                </c:pt>
                <c:pt idx="2">
                  <c:v>75.599999999999994</c:v>
                </c:pt>
                <c:pt idx="3">
                  <c:v>195.2</c:v>
                </c:pt>
                <c:pt idx="4">
                  <c:v>198.9</c:v>
                </c:pt>
                <c:pt idx="5">
                  <c:v>29.2</c:v>
                </c:pt>
                <c:pt idx="6">
                  <c:v>69.3</c:v>
                </c:pt>
              </c:numCache>
            </c:numRef>
          </c:val>
          <c:extLst>
            <c:ext xmlns:c16="http://schemas.microsoft.com/office/drawing/2014/chart" uri="{C3380CC4-5D6E-409C-BE32-E72D297353CC}">
              <c16:uniqueId val="{00000000-7719-4F41-8386-E4D769D5EEF1}"/>
            </c:ext>
          </c:extLst>
        </c:ser>
        <c:ser>
          <c:idx val="1"/>
          <c:order val="1"/>
          <c:tx>
            <c:strRef>
              <c:f>Sheet1!$D$4</c:f>
              <c:strCache>
                <c:ptCount val="1"/>
                <c:pt idx="0">
                  <c:v>2018.gads</c:v>
                </c:pt>
              </c:strCache>
            </c:strRef>
          </c:tx>
          <c:invertIfNegative val="0"/>
          <c:cat>
            <c:strRef>
              <c:f>Sheet1!$B$5:$B$11</c:f>
              <c:strCache>
                <c:ptCount val="7"/>
                <c:pt idx="0">
                  <c:v>Siltums</c:v>
                </c:pt>
                <c:pt idx="1">
                  <c:v>Ūdens</c:v>
                </c:pt>
                <c:pt idx="2">
                  <c:v>Kanalizācija</c:v>
                </c:pt>
                <c:pt idx="3">
                  <c:v>Apsaimniekošana</c:v>
                </c:pt>
                <c:pt idx="4">
                  <c:v>Koģenerācija</c:v>
                </c:pt>
                <c:pt idx="5">
                  <c:v>Atkritumi</c:v>
                </c:pt>
                <c:pt idx="6">
                  <c:v>Pārējie</c:v>
                </c:pt>
              </c:strCache>
            </c:strRef>
          </c:cat>
          <c:val>
            <c:numRef>
              <c:f>Sheet1!$D$5:$D$11</c:f>
              <c:numCache>
                <c:formatCode>General</c:formatCode>
                <c:ptCount val="7"/>
                <c:pt idx="0">
                  <c:v>363</c:v>
                </c:pt>
                <c:pt idx="1">
                  <c:v>46.3</c:v>
                </c:pt>
                <c:pt idx="2">
                  <c:v>76</c:v>
                </c:pt>
                <c:pt idx="3">
                  <c:v>203.3</c:v>
                </c:pt>
                <c:pt idx="4">
                  <c:v>82.8</c:v>
                </c:pt>
                <c:pt idx="5">
                  <c:v>29.3</c:v>
                </c:pt>
                <c:pt idx="6">
                  <c:v>84.2</c:v>
                </c:pt>
              </c:numCache>
            </c:numRef>
          </c:val>
          <c:extLst>
            <c:ext xmlns:c16="http://schemas.microsoft.com/office/drawing/2014/chart" uri="{C3380CC4-5D6E-409C-BE32-E72D297353CC}">
              <c16:uniqueId val="{00000001-7719-4F41-8386-E4D769D5EEF1}"/>
            </c:ext>
          </c:extLst>
        </c:ser>
        <c:ser>
          <c:idx val="2"/>
          <c:order val="2"/>
          <c:tx>
            <c:strRef>
              <c:f>Sheet1!$E$4</c:f>
              <c:strCache>
                <c:ptCount val="1"/>
                <c:pt idx="0">
                  <c:v>2019.gads</c:v>
                </c:pt>
              </c:strCache>
            </c:strRef>
          </c:tx>
          <c:invertIfNegative val="0"/>
          <c:cat>
            <c:strRef>
              <c:f>Sheet1!$B$5:$B$11</c:f>
              <c:strCache>
                <c:ptCount val="7"/>
                <c:pt idx="0">
                  <c:v>Siltums</c:v>
                </c:pt>
                <c:pt idx="1">
                  <c:v>Ūdens</c:v>
                </c:pt>
                <c:pt idx="2">
                  <c:v>Kanalizācija</c:v>
                </c:pt>
                <c:pt idx="3">
                  <c:v>Apsaimniekošana</c:v>
                </c:pt>
                <c:pt idx="4">
                  <c:v>Koģenerācija</c:v>
                </c:pt>
                <c:pt idx="5">
                  <c:v>Atkritumi</c:v>
                </c:pt>
                <c:pt idx="6">
                  <c:v>Pārējie</c:v>
                </c:pt>
              </c:strCache>
            </c:strRef>
          </c:cat>
          <c:val>
            <c:numRef>
              <c:f>Sheet1!$E$5:$E$11</c:f>
              <c:numCache>
                <c:formatCode>General</c:formatCode>
                <c:ptCount val="7"/>
                <c:pt idx="0">
                  <c:v>360</c:v>
                </c:pt>
                <c:pt idx="1">
                  <c:v>46.5</c:v>
                </c:pt>
                <c:pt idx="2">
                  <c:v>76.2</c:v>
                </c:pt>
                <c:pt idx="3">
                  <c:v>205.8</c:v>
                </c:pt>
                <c:pt idx="4">
                  <c:v>15.3</c:v>
                </c:pt>
                <c:pt idx="5">
                  <c:v>29.5</c:v>
                </c:pt>
                <c:pt idx="6">
                  <c:v>71.400000000000006</c:v>
                </c:pt>
              </c:numCache>
            </c:numRef>
          </c:val>
          <c:extLst>
            <c:ext xmlns:c16="http://schemas.microsoft.com/office/drawing/2014/chart" uri="{C3380CC4-5D6E-409C-BE32-E72D297353CC}">
              <c16:uniqueId val="{00000002-7719-4F41-8386-E4D769D5EEF1}"/>
            </c:ext>
          </c:extLst>
        </c:ser>
        <c:dLbls>
          <c:showLegendKey val="0"/>
          <c:showVal val="0"/>
          <c:showCatName val="0"/>
          <c:showSerName val="0"/>
          <c:showPercent val="0"/>
          <c:showBubbleSize val="0"/>
        </c:dLbls>
        <c:gapWidth val="150"/>
        <c:shape val="cylinder"/>
        <c:axId val="114476928"/>
        <c:axId val="114478464"/>
        <c:axId val="0"/>
      </c:bar3DChart>
      <c:catAx>
        <c:axId val="114476928"/>
        <c:scaling>
          <c:orientation val="minMax"/>
        </c:scaling>
        <c:delete val="0"/>
        <c:axPos val="b"/>
        <c:numFmt formatCode="General" sourceLinked="0"/>
        <c:majorTickMark val="out"/>
        <c:minorTickMark val="none"/>
        <c:tickLblPos val="nextTo"/>
        <c:crossAx val="114478464"/>
        <c:crosses val="autoZero"/>
        <c:auto val="1"/>
        <c:lblAlgn val="ctr"/>
        <c:lblOffset val="100"/>
        <c:noMultiLvlLbl val="0"/>
      </c:catAx>
      <c:valAx>
        <c:axId val="114478464"/>
        <c:scaling>
          <c:orientation val="minMax"/>
        </c:scaling>
        <c:delete val="0"/>
        <c:axPos val="l"/>
        <c:majorGridlines/>
        <c:numFmt formatCode="General" sourceLinked="1"/>
        <c:majorTickMark val="out"/>
        <c:minorTickMark val="none"/>
        <c:tickLblPos val="nextTo"/>
        <c:crossAx val="114476928"/>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Sheet2!$C$4</c:f>
              <c:strCache>
                <c:ptCount val="1"/>
                <c:pt idx="0">
                  <c:v>2017.gads</c:v>
                </c:pt>
              </c:strCache>
            </c:strRef>
          </c:tx>
          <c:invertIfNegative val="0"/>
          <c:cat>
            <c:strRef>
              <c:f>Sheet2!$B$5:$B$11</c:f>
              <c:strCache>
                <c:ptCount val="7"/>
                <c:pt idx="0">
                  <c:v>Siltums</c:v>
                </c:pt>
                <c:pt idx="1">
                  <c:v>Ūdens</c:v>
                </c:pt>
                <c:pt idx="2">
                  <c:v>Kanalizācija</c:v>
                </c:pt>
                <c:pt idx="3">
                  <c:v>Apsaimniekošana</c:v>
                </c:pt>
                <c:pt idx="4">
                  <c:v>Koģenerācija</c:v>
                </c:pt>
                <c:pt idx="5">
                  <c:v>Atkritumi</c:v>
                </c:pt>
                <c:pt idx="6">
                  <c:v>Pārējie</c:v>
                </c:pt>
              </c:strCache>
            </c:strRef>
          </c:cat>
          <c:val>
            <c:numRef>
              <c:f>Sheet2!$C$5:$C$11</c:f>
              <c:numCache>
                <c:formatCode>General</c:formatCode>
                <c:ptCount val="7"/>
                <c:pt idx="0">
                  <c:v>360.3</c:v>
                </c:pt>
                <c:pt idx="1">
                  <c:v>46.7</c:v>
                </c:pt>
                <c:pt idx="2">
                  <c:v>77.2</c:v>
                </c:pt>
                <c:pt idx="3">
                  <c:v>212.1</c:v>
                </c:pt>
                <c:pt idx="4" formatCode="0.0">
                  <c:v>187</c:v>
                </c:pt>
                <c:pt idx="5">
                  <c:v>29.2</c:v>
                </c:pt>
                <c:pt idx="6">
                  <c:v>53.1</c:v>
                </c:pt>
              </c:numCache>
            </c:numRef>
          </c:val>
          <c:extLst>
            <c:ext xmlns:c16="http://schemas.microsoft.com/office/drawing/2014/chart" uri="{C3380CC4-5D6E-409C-BE32-E72D297353CC}">
              <c16:uniqueId val="{00000000-573E-44CC-80F6-B3BDF9EA0B6C}"/>
            </c:ext>
          </c:extLst>
        </c:ser>
        <c:ser>
          <c:idx val="1"/>
          <c:order val="1"/>
          <c:tx>
            <c:strRef>
              <c:f>Sheet2!$D$4</c:f>
              <c:strCache>
                <c:ptCount val="1"/>
                <c:pt idx="0">
                  <c:v>2018.gads</c:v>
                </c:pt>
              </c:strCache>
            </c:strRef>
          </c:tx>
          <c:invertIfNegative val="0"/>
          <c:cat>
            <c:strRef>
              <c:f>Sheet2!$B$5:$B$11</c:f>
              <c:strCache>
                <c:ptCount val="7"/>
                <c:pt idx="0">
                  <c:v>Siltums</c:v>
                </c:pt>
                <c:pt idx="1">
                  <c:v>Ūdens</c:v>
                </c:pt>
                <c:pt idx="2">
                  <c:v>Kanalizācija</c:v>
                </c:pt>
                <c:pt idx="3">
                  <c:v>Apsaimniekošana</c:v>
                </c:pt>
                <c:pt idx="4">
                  <c:v>Koģenerācija</c:v>
                </c:pt>
                <c:pt idx="5">
                  <c:v>Atkritumi</c:v>
                </c:pt>
                <c:pt idx="6">
                  <c:v>Pārējie</c:v>
                </c:pt>
              </c:strCache>
            </c:strRef>
          </c:cat>
          <c:val>
            <c:numRef>
              <c:f>Sheet2!$D$5:$D$11</c:f>
              <c:numCache>
                <c:formatCode>General</c:formatCode>
                <c:ptCount val="7"/>
                <c:pt idx="0">
                  <c:v>358.1</c:v>
                </c:pt>
                <c:pt idx="1">
                  <c:v>47.6</c:v>
                </c:pt>
                <c:pt idx="2">
                  <c:v>77.400000000000006</c:v>
                </c:pt>
                <c:pt idx="3">
                  <c:v>218.9</c:v>
                </c:pt>
                <c:pt idx="4" formatCode="0.0">
                  <c:v>77.900000000000006</c:v>
                </c:pt>
                <c:pt idx="5">
                  <c:v>29.3</c:v>
                </c:pt>
                <c:pt idx="6">
                  <c:v>70.2</c:v>
                </c:pt>
              </c:numCache>
            </c:numRef>
          </c:val>
          <c:extLst>
            <c:ext xmlns:c16="http://schemas.microsoft.com/office/drawing/2014/chart" uri="{C3380CC4-5D6E-409C-BE32-E72D297353CC}">
              <c16:uniqueId val="{00000001-573E-44CC-80F6-B3BDF9EA0B6C}"/>
            </c:ext>
          </c:extLst>
        </c:ser>
        <c:ser>
          <c:idx val="2"/>
          <c:order val="2"/>
          <c:tx>
            <c:strRef>
              <c:f>Sheet2!$E$4</c:f>
              <c:strCache>
                <c:ptCount val="1"/>
                <c:pt idx="0">
                  <c:v>2019.gads</c:v>
                </c:pt>
              </c:strCache>
            </c:strRef>
          </c:tx>
          <c:invertIfNegative val="0"/>
          <c:cat>
            <c:strRef>
              <c:f>Sheet2!$B$5:$B$11</c:f>
              <c:strCache>
                <c:ptCount val="7"/>
                <c:pt idx="0">
                  <c:v>Siltums</c:v>
                </c:pt>
                <c:pt idx="1">
                  <c:v>Ūdens</c:v>
                </c:pt>
                <c:pt idx="2">
                  <c:v>Kanalizācija</c:v>
                </c:pt>
                <c:pt idx="3">
                  <c:v>Apsaimniekošana</c:v>
                </c:pt>
                <c:pt idx="4">
                  <c:v>Koģenerācija</c:v>
                </c:pt>
                <c:pt idx="5">
                  <c:v>Atkritumi</c:v>
                </c:pt>
                <c:pt idx="6">
                  <c:v>Pārējie</c:v>
                </c:pt>
              </c:strCache>
            </c:strRef>
          </c:cat>
          <c:val>
            <c:numRef>
              <c:f>Sheet2!$E$5:$E$11</c:f>
              <c:numCache>
                <c:formatCode>General</c:formatCode>
                <c:ptCount val="7"/>
                <c:pt idx="0">
                  <c:v>357.2</c:v>
                </c:pt>
                <c:pt idx="1">
                  <c:v>48.6</c:v>
                </c:pt>
                <c:pt idx="2">
                  <c:v>77.900000000000006</c:v>
                </c:pt>
                <c:pt idx="3">
                  <c:v>202</c:v>
                </c:pt>
                <c:pt idx="4" formatCode="0.0">
                  <c:v>14.4</c:v>
                </c:pt>
                <c:pt idx="5">
                  <c:v>29.5</c:v>
                </c:pt>
                <c:pt idx="6">
                  <c:v>70.3</c:v>
                </c:pt>
              </c:numCache>
            </c:numRef>
          </c:val>
          <c:extLst>
            <c:ext xmlns:c16="http://schemas.microsoft.com/office/drawing/2014/chart" uri="{C3380CC4-5D6E-409C-BE32-E72D297353CC}">
              <c16:uniqueId val="{00000002-573E-44CC-80F6-B3BDF9EA0B6C}"/>
            </c:ext>
          </c:extLst>
        </c:ser>
        <c:dLbls>
          <c:showLegendKey val="0"/>
          <c:showVal val="0"/>
          <c:showCatName val="0"/>
          <c:showSerName val="0"/>
          <c:showPercent val="0"/>
          <c:showBubbleSize val="0"/>
        </c:dLbls>
        <c:gapWidth val="150"/>
        <c:shape val="cylinder"/>
        <c:axId val="116138752"/>
        <c:axId val="116140288"/>
        <c:axId val="0"/>
      </c:bar3DChart>
      <c:catAx>
        <c:axId val="116138752"/>
        <c:scaling>
          <c:orientation val="minMax"/>
        </c:scaling>
        <c:delete val="0"/>
        <c:axPos val="b"/>
        <c:numFmt formatCode="General" sourceLinked="0"/>
        <c:majorTickMark val="out"/>
        <c:minorTickMark val="none"/>
        <c:tickLblPos val="nextTo"/>
        <c:crossAx val="116140288"/>
        <c:crosses val="autoZero"/>
        <c:auto val="1"/>
        <c:lblAlgn val="ctr"/>
        <c:lblOffset val="100"/>
        <c:noMultiLvlLbl val="0"/>
      </c:catAx>
      <c:valAx>
        <c:axId val="116140288"/>
        <c:scaling>
          <c:orientation val="minMax"/>
        </c:scaling>
        <c:delete val="0"/>
        <c:axPos val="l"/>
        <c:majorGridlines/>
        <c:numFmt formatCode="General" sourceLinked="1"/>
        <c:majorTickMark val="out"/>
        <c:minorTickMark val="none"/>
        <c:tickLblPos val="nextTo"/>
        <c:crossAx val="1161387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Sheet1!$B$57</c:f>
              <c:strCache>
                <c:ptCount val="1"/>
                <c:pt idx="0">
                  <c:v>2017.gads</c:v>
                </c:pt>
              </c:strCache>
            </c:strRef>
          </c:tx>
          <c:invertIfNegative val="0"/>
          <c:cat>
            <c:strRef>
              <c:f>Sheet1!$A$58:$A$64</c:f>
              <c:strCache>
                <c:ptCount val="7"/>
                <c:pt idx="0">
                  <c:v>Dabas resursu nodoklis</c:v>
                </c:pt>
                <c:pt idx="1">
                  <c:v>Valsts soc.apdr.iem.</c:v>
                </c:pt>
                <c:pt idx="2">
                  <c:v>PVN</c:v>
                </c:pt>
                <c:pt idx="3">
                  <c:v>Īpašuma nodoklis</c:v>
                </c:pt>
                <c:pt idx="4">
                  <c:v>IIN</c:v>
                </c:pt>
                <c:pt idx="5">
                  <c:v>Riska nodeva</c:v>
                </c:pt>
                <c:pt idx="6">
                  <c:v>UIN</c:v>
                </c:pt>
              </c:strCache>
            </c:strRef>
          </c:cat>
          <c:val>
            <c:numRef>
              <c:f>Sheet1!$B$58:$B$64</c:f>
              <c:numCache>
                <c:formatCode>#,##0</c:formatCode>
                <c:ptCount val="7"/>
                <c:pt idx="0">
                  <c:v>7300</c:v>
                </c:pt>
                <c:pt idx="1">
                  <c:v>86194</c:v>
                </c:pt>
                <c:pt idx="2">
                  <c:v>81612</c:v>
                </c:pt>
                <c:pt idx="3">
                  <c:v>1082</c:v>
                </c:pt>
                <c:pt idx="4">
                  <c:v>48516</c:v>
                </c:pt>
                <c:pt idx="5" formatCode="General">
                  <c:v>136</c:v>
                </c:pt>
                <c:pt idx="6" formatCode="General">
                  <c:v>0</c:v>
                </c:pt>
              </c:numCache>
            </c:numRef>
          </c:val>
          <c:extLst>
            <c:ext xmlns:c16="http://schemas.microsoft.com/office/drawing/2014/chart" uri="{C3380CC4-5D6E-409C-BE32-E72D297353CC}">
              <c16:uniqueId val="{00000000-008E-4315-B7E8-7E24BAC0EBDC}"/>
            </c:ext>
          </c:extLst>
        </c:ser>
        <c:ser>
          <c:idx val="1"/>
          <c:order val="1"/>
          <c:tx>
            <c:strRef>
              <c:f>Sheet1!$C$57</c:f>
              <c:strCache>
                <c:ptCount val="1"/>
                <c:pt idx="0">
                  <c:v>2018.gads</c:v>
                </c:pt>
              </c:strCache>
            </c:strRef>
          </c:tx>
          <c:invertIfNegative val="0"/>
          <c:cat>
            <c:strRef>
              <c:f>Sheet1!$A$58:$A$64</c:f>
              <c:strCache>
                <c:ptCount val="7"/>
                <c:pt idx="0">
                  <c:v>Dabas resursu nodoklis</c:v>
                </c:pt>
                <c:pt idx="1">
                  <c:v>Valsts soc.apdr.iem.</c:v>
                </c:pt>
                <c:pt idx="2">
                  <c:v>PVN</c:v>
                </c:pt>
                <c:pt idx="3">
                  <c:v>Īpašuma nodoklis</c:v>
                </c:pt>
                <c:pt idx="4">
                  <c:v>IIN</c:v>
                </c:pt>
                <c:pt idx="5">
                  <c:v>Riska nodeva</c:v>
                </c:pt>
                <c:pt idx="6">
                  <c:v>UIN</c:v>
                </c:pt>
              </c:strCache>
            </c:strRef>
          </c:cat>
          <c:val>
            <c:numRef>
              <c:f>Sheet1!$C$58:$C$64</c:f>
              <c:numCache>
                <c:formatCode>#,##0</c:formatCode>
                <c:ptCount val="7"/>
                <c:pt idx="0">
                  <c:v>7350</c:v>
                </c:pt>
                <c:pt idx="1">
                  <c:v>86200</c:v>
                </c:pt>
                <c:pt idx="2">
                  <c:v>82340</c:v>
                </c:pt>
                <c:pt idx="3">
                  <c:v>1210</c:v>
                </c:pt>
                <c:pt idx="4">
                  <c:v>48800</c:v>
                </c:pt>
                <c:pt idx="5" formatCode="General">
                  <c:v>139</c:v>
                </c:pt>
                <c:pt idx="6" formatCode="General">
                  <c:v>0</c:v>
                </c:pt>
              </c:numCache>
            </c:numRef>
          </c:val>
          <c:extLst>
            <c:ext xmlns:c16="http://schemas.microsoft.com/office/drawing/2014/chart" uri="{C3380CC4-5D6E-409C-BE32-E72D297353CC}">
              <c16:uniqueId val="{00000001-008E-4315-B7E8-7E24BAC0EBDC}"/>
            </c:ext>
          </c:extLst>
        </c:ser>
        <c:ser>
          <c:idx val="2"/>
          <c:order val="2"/>
          <c:tx>
            <c:strRef>
              <c:f>Sheet1!$D$57</c:f>
              <c:strCache>
                <c:ptCount val="1"/>
                <c:pt idx="0">
                  <c:v>2019.gads</c:v>
                </c:pt>
              </c:strCache>
            </c:strRef>
          </c:tx>
          <c:invertIfNegative val="0"/>
          <c:cat>
            <c:strRef>
              <c:f>Sheet1!$A$58:$A$64</c:f>
              <c:strCache>
                <c:ptCount val="7"/>
                <c:pt idx="0">
                  <c:v>Dabas resursu nodoklis</c:v>
                </c:pt>
                <c:pt idx="1">
                  <c:v>Valsts soc.apdr.iem.</c:v>
                </c:pt>
                <c:pt idx="2">
                  <c:v>PVN</c:v>
                </c:pt>
                <c:pt idx="3">
                  <c:v>Īpašuma nodoklis</c:v>
                </c:pt>
                <c:pt idx="4">
                  <c:v>IIN</c:v>
                </c:pt>
                <c:pt idx="5">
                  <c:v>Riska nodeva</c:v>
                </c:pt>
                <c:pt idx="6">
                  <c:v>UIN</c:v>
                </c:pt>
              </c:strCache>
            </c:strRef>
          </c:cat>
          <c:val>
            <c:numRef>
              <c:f>Sheet1!$D$58:$D$64</c:f>
              <c:numCache>
                <c:formatCode>#,##0</c:formatCode>
                <c:ptCount val="7"/>
                <c:pt idx="0">
                  <c:v>7350</c:v>
                </c:pt>
                <c:pt idx="1">
                  <c:v>86400</c:v>
                </c:pt>
                <c:pt idx="2">
                  <c:v>82350</c:v>
                </c:pt>
                <c:pt idx="3">
                  <c:v>1215</c:v>
                </c:pt>
                <c:pt idx="4">
                  <c:v>48850</c:v>
                </c:pt>
                <c:pt idx="5" formatCode="General">
                  <c:v>140</c:v>
                </c:pt>
                <c:pt idx="6" formatCode="General">
                  <c:v>0</c:v>
                </c:pt>
              </c:numCache>
            </c:numRef>
          </c:val>
          <c:extLst>
            <c:ext xmlns:c16="http://schemas.microsoft.com/office/drawing/2014/chart" uri="{C3380CC4-5D6E-409C-BE32-E72D297353CC}">
              <c16:uniqueId val="{00000002-008E-4315-B7E8-7E24BAC0EBDC}"/>
            </c:ext>
          </c:extLst>
        </c:ser>
        <c:dLbls>
          <c:showLegendKey val="0"/>
          <c:showVal val="0"/>
          <c:showCatName val="0"/>
          <c:showSerName val="0"/>
          <c:showPercent val="0"/>
          <c:showBubbleSize val="0"/>
        </c:dLbls>
        <c:gapWidth val="150"/>
        <c:shape val="cylinder"/>
        <c:axId val="115999488"/>
        <c:axId val="116001024"/>
        <c:axId val="0"/>
      </c:bar3DChart>
      <c:catAx>
        <c:axId val="115999488"/>
        <c:scaling>
          <c:orientation val="minMax"/>
        </c:scaling>
        <c:delete val="0"/>
        <c:axPos val="b"/>
        <c:numFmt formatCode="General" sourceLinked="0"/>
        <c:majorTickMark val="out"/>
        <c:minorTickMark val="none"/>
        <c:tickLblPos val="nextTo"/>
        <c:crossAx val="116001024"/>
        <c:crosses val="autoZero"/>
        <c:auto val="1"/>
        <c:lblAlgn val="ctr"/>
        <c:lblOffset val="100"/>
        <c:noMultiLvlLbl val="0"/>
      </c:catAx>
      <c:valAx>
        <c:axId val="116001024"/>
        <c:scaling>
          <c:orientation val="minMax"/>
        </c:scaling>
        <c:delete val="0"/>
        <c:axPos val="l"/>
        <c:majorGridlines/>
        <c:numFmt formatCode="#,##0" sourceLinked="1"/>
        <c:majorTickMark val="out"/>
        <c:minorTickMark val="none"/>
        <c:tickLblPos val="nextTo"/>
        <c:crossAx val="115999488"/>
        <c:crosses val="autoZero"/>
        <c:crossBetween val="between"/>
      </c:valAx>
    </c:plotArea>
    <c:legend>
      <c:legendPos val="r"/>
      <c:overlay val="0"/>
    </c:legend>
    <c:plotVisOnly val="1"/>
    <c:dispBlanksAs val="gap"/>
    <c:showDLblsOverMax val="0"/>
  </c:chart>
  <c:spPr>
    <a:ln>
      <a:noFill/>
    </a:ln>
  </c:spPr>
  <c:txPr>
    <a:bodyPr/>
    <a:lstStyle/>
    <a:p>
      <a:pPr>
        <a:defRPr baseline="0"/>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5E1B-B189-4EC5-9DE5-F20521E7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8965</Words>
  <Characters>5111</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AIZKRAUKLES NOVADA</vt:lpstr>
      <vt:lpstr>AIZKRAUKLES NOVADA</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AIZKRAUKLES NOVADA</dc:title>
  <dc:creator>name</dc:creator>
  <cp:lastModifiedBy>Administrator</cp:lastModifiedBy>
  <cp:revision>3</cp:revision>
  <cp:lastPrinted>2016-02-22T07:25:00Z</cp:lastPrinted>
  <dcterms:created xsi:type="dcterms:W3CDTF">2017-12-08T08:58:00Z</dcterms:created>
  <dcterms:modified xsi:type="dcterms:W3CDTF">2017-12-08T09:01:00Z</dcterms:modified>
</cp:coreProperties>
</file>