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364" w:rsidRPr="005841B1" w:rsidRDefault="005841B1" w:rsidP="00532E48">
      <w:pPr>
        <w:ind w:firstLine="720"/>
        <w:jc w:val="both"/>
        <w:rPr>
          <w:b/>
          <w:bCs/>
          <w:color w:val="000000"/>
          <w:u w:val="single"/>
          <w:lang w:val="lv-LV"/>
        </w:rPr>
      </w:pPr>
      <w:r w:rsidRPr="005841B1">
        <w:rPr>
          <w:b/>
          <w:bCs/>
          <w:color w:val="000000"/>
          <w:u w:val="single"/>
          <w:lang w:val="lv-LV"/>
        </w:rPr>
        <w:t>Atbildes Nr.2 / 29.06.2018. uz ieinteresēto piegādātāju uzdotajiem jautājumiem</w:t>
      </w:r>
    </w:p>
    <w:p w:rsidR="005841B1" w:rsidRDefault="005841B1" w:rsidP="00532E48">
      <w:pPr>
        <w:ind w:firstLine="720"/>
        <w:jc w:val="both"/>
        <w:rPr>
          <w:bCs/>
          <w:color w:val="000000"/>
          <w:lang w:val="lv-LV"/>
        </w:rPr>
      </w:pPr>
    </w:p>
    <w:p w:rsidR="00532E48" w:rsidRPr="00532E48" w:rsidRDefault="00532E48" w:rsidP="00532E48">
      <w:pPr>
        <w:ind w:firstLine="720"/>
        <w:jc w:val="both"/>
        <w:rPr>
          <w:bCs/>
          <w:color w:val="000000"/>
          <w:lang w:val="lv-LV"/>
        </w:rPr>
      </w:pPr>
      <w:r w:rsidRPr="005841B1">
        <w:rPr>
          <w:bCs/>
          <w:color w:val="000000"/>
          <w:u w:val="single"/>
          <w:lang w:val="lv-LV"/>
        </w:rPr>
        <w:t>JAUTĀJUMS</w:t>
      </w:r>
      <w:r w:rsidRPr="00532E48">
        <w:rPr>
          <w:bCs/>
          <w:color w:val="000000"/>
          <w:lang w:val="lv-LV"/>
        </w:rPr>
        <w:t xml:space="preserve"> - Pasūtītājam iepirkuma rīkošanā jāpiemēro ne tikai Publisko iepirkumu likums, bet arī speciālais likums -  Atkritumu apsaimniekošanas likums. Atbilstoši Atkritumu apsaimniekošanas likuma 18. panta 1. daļai pašvaldība publisko iepirkumu vai publisko un privāto partnerību regulējošos normatīvajos aktos noteiktajā kārtībā izvēlas atkritumu apsaimniekotāju, kurš veiks sadzīves atkritumu savākšanu, pārvadāšanu, pārkraušanu un uzglabāšanu attiecīgajā sadzīves atkritumu apsaimniekošanas zonā par piedāvājuma izvēles kritēriju nosakot saimnieciski izdevīgāko piedāvājumu. Saskaņā ar Konkursa nolikuma 14. punktu, Pasūtītājs kā piedāvājuma izvēles kritēriju ir noteicis zemāko cenu. Ņemot vērā, ka minētais ir pretrunā ar normatīvajiem aktiem, Konkursa dokumenti būtu jāgroza, bet gadījumā, ja Publisko iepirkumu likuma izpratnē šādi grozījumi nav pieļaujami, uzsāktā iepirkuma procedūra ir jāpārtrauc.</w:t>
      </w:r>
    </w:p>
    <w:p w:rsidR="00CD5364" w:rsidRDefault="00CD5364" w:rsidP="00532E48">
      <w:pPr>
        <w:ind w:firstLine="720"/>
        <w:jc w:val="both"/>
        <w:rPr>
          <w:bCs/>
          <w:color w:val="000000"/>
          <w:lang w:val="lv-LV"/>
        </w:rPr>
      </w:pPr>
    </w:p>
    <w:p w:rsidR="00532E48" w:rsidRPr="00532E48" w:rsidRDefault="00532E48" w:rsidP="00532E48">
      <w:pPr>
        <w:ind w:firstLine="720"/>
        <w:jc w:val="both"/>
        <w:rPr>
          <w:bCs/>
          <w:color w:val="000000"/>
          <w:lang w:val="lv-LV"/>
        </w:rPr>
      </w:pPr>
      <w:r w:rsidRPr="005841B1">
        <w:rPr>
          <w:bCs/>
          <w:color w:val="000000"/>
          <w:u w:val="single"/>
          <w:lang w:val="lv-LV"/>
        </w:rPr>
        <w:t>ATBILDE</w:t>
      </w:r>
      <w:r w:rsidRPr="00532E48">
        <w:rPr>
          <w:bCs/>
          <w:color w:val="000000"/>
          <w:lang w:val="lv-LV"/>
        </w:rPr>
        <w:t xml:space="preserve"> – Publisko iepirkumu likuma (turpmāk PIL) 51. panta “Piedāvājuma izvērtēšanas kritēriji” pirmajā daļā ir noteikts, ka “Pasūtītājs piešķir iepirkuma līguma slēgšanas tiesības saimnieciski vis</w:t>
      </w:r>
      <w:bookmarkStart w:id="0" w:name="_GoBack"/>
      <w:bookmarkEnd w:id="0"/>
      <w:r w:rsidRPr="00532E48">
        <w:rPr>
          <w:bCs/>
          <w:color w:val="000000"/>
          <w:lang w:val="lv-LV"/>
        </w:rPr>
        <w:t xml:space="preserve">izdevīgākajam piedāvājumam, kuru nosaka, ņemot vērā izmaksas vai cenu, vai izmaksas un kvalitātes kritērijus, vai tikai cenu. Balstoties uz PIL 51.pantu un saskaņā ar Konkursa nolikuma 14. punktu Iepirkuma komisija izvēlas saimnieciski visizdevīgāko piedāvājumu ar kritēriju zemākā cena, kas atbilst nolikuma prasībām un Tehniskajai specifikācijai. PIL 51.panta ceturtā daļa nosaka, ka Pasūtītājs piedāvājumu salīdzināšanai un izvērtēšanai ir tiesīgs izmantot tikai cenu, ja sagatavotā tehniskā specifikācija ir detalizēta un citiem kritērijiem nav būtiskas nozīmes piedāvājuma izvēlē. </w:t>
      </w:r>
    </w:p>
    <w:p w:rsidR="004C74A3" w:rsidRPr="004C74A3" w:rsidRDefault="00532E48" w:rsidP="00532E48">
      <w:pPr>
        <w:ind w:firstLine="720"/>
        <w:jc w:val="both"/>
        <w:rPr>
          <w:bCs/>
          <w:color w:val="000000"/>
          <w:lang w:val="lv-LV"/>
        </w:rPr>
      </w:pPr>
      <w:r w:rsidRPr="00532E48">
        <w:rPr>
          <w:bCs/>
          <w:color w:val="000000"/>
          <w:lang w:val="lv-LV"/>
        </w:rPr>
        <w:t>Iepirkumu komisija uzskata, ka Konkursa nolikuma 14.punktā noteiktie kritēriji nav pretrunā ar normatīvajiem aktiem un  Tehniskā specifikācija ir sastādīta detalizēti, tāpēc Konkursa dokumenti nav jāgroza un  uzsāktā iepirkuma procedūra nav jāpārtrauc.</w:t>
      </w:r>
    </w:p>
    <w:p w:rsidR="001B2C6B" w:rsidRDefault="001B2C6B" w:rsidP="00414187">
      <w:pPr>
        <w:rPr>
          <w:lang w:val="lv-LV"/>
        </w:rPr>
      </w:pPr>
    </w:p>
    <w:p w:rsidR="00532E48" w:rsidRDefault="00532E48" w:rsidP="00414187">
      <w:pPr>
        <w:rPr>
          <w:lang w:val="lv-LV"/>
        </w:rPr>
      </w:pPr>
    </w:p>
    <w:p w:rsidR="00532E48" w:rsidRDefault="00532E48" w:rsidP="00414187">
      <w:pPr>
        <w:rPr>
          <w:lang w:val="lv-LV"/>
        </w:rPr>
      </w:pPr>
    </w:p>
    <w:p w:rsidR="00414187" w:rsidRPr="004E7B9B" w:rsidRDefault="00414187" w:rsidP="00414187">
      <w:pPr>
        <w:rPr>
          <w:lang w:val="lv-LV"/>
        </w:rPr>
      </w:pPr>
      <w:r w:rsidRPr="004E7B9B">
        <w:rPr>
          <w:lang w:val="lv-LV"/>
        </w:rPr>
        <w:t xml:space="preserve">Iepirkumu komisijas vārdā                                                           </w:t>
      </w:r>
      <w:r w:rsidR="00532E48">
        <w:rPr>
          <w:lang w:val="lv-LV"/>
        </w:rPr>
        <w:t xml:space="preserve">                </w:t>
      </w:r>
      <w:r w:rsidRPr="004E7B9B">
        <w:rPr>
          <w:lang w:val="lv-LV"/>
        </w:rPr>
        <w:t>Dace Svētiņa</w:t>
      </w:r>
    </w:p>
    <w:p w:rsidR="00414187" w:rsidRPr="004E7B9B" w:rsidRDefault="00414187" w:rsidP="00414187">
      <w:pPr>
        <w:rPr>
          <w:lang w:val="lv-LV"/>
        </w:rPr>
      </w:pPr>
    </w:p>
    <w:p w:rsidR="001B2C6B" w:rsidRDefault="00414187" w:rsidP="009F4B69">
      <w:pPr>
        <w:rPr>
          <w:sz w:val="20"/>
          <w:szCs w:val="20"/>
          <w:lang w:val="lv-LV"/>
        </w:rPr>
      </w:pPr>
      <w:r w:rsidRPr="00E10EA5">
        <w:rPr>
          <w:sz w:val="20"/>
          <w:szCs w:val="20"/>
          <w:lang w:val="lv-LV"/>
        </w:rPr>
        <w:t>Svētiņa</w:t>
      </w:r>
    </w:p>
    <w:p w:rsidR="009F4B69" w:rsidRDefault="00414187" w:rsidP="009F4B69">
      <w:pPr>
        <w:rPr>
          <w:lang w:val="lv-LV"/>
        </w:rPr>
      </w:pPr>
      <w:r w:rsidRPr="00E10EA5">
        <w:rPr>
          <w:sz w:val="20"/>
          <w:szCs w:val="20"/>
          <w:lang w:val="lv-LV"/>
        </w:rPr>
        <w:t>28355381</w:t>
      </w:r>
    </w:p>
    <w:sectPr w:rsidR="009F4B69" w:rsidSect="001B2C6B">
      <w:footerReference w:type="default" r:id="rId8"/>
      <w:pgSz w:w="11906" w:h="16838"/>
      <w:pgMar w:top="1135" w:right="99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D83" w:rsidRDefault="00925D83" w:rsidP="00A1363E">
      <w:r>
        <w:separator/>
      </w:r>
    </w:p>
  </w:endnote>
  <w:endnote w:type="continuationSeparator" w:id="0">
    <w:p w:rsidR="00925D83" w:rsidRDefault="00925D83" w:rsidP="00A1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FD4" w:rsidRDefault="00866FD4" w:rsidP="00A1363E">
    <w:pPr>
      <w:pStyle w:val="Kjene"/>
      <w:jc w:val="right"/>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1B2C6B" w:rsidRPr="001B2C6B">
      <w:rPr>
        <w:caps/>
        <w:noProof/>
        <w:color w:val="5B9BD5" w:themeColor="accent1"/>
        <w:lang w:val="lv-LV"/>
      </w:rPr>
      <w:t>2</w:t>
    </w:r>
    <w:r>
      <w:rPr>
        <w:caps/>
        <w:color w:val="5B9BD5" w:themeColor="accent1"/>
      </w:rPr>
      <w:fldChar w:fldCharType="end"/>
    </w:r>
  </w:p>
  <w:p w:rsidR="00866FD4" w:rsidRDefault="00866FD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D83" w:rsidRDefault="00925D83" w:rsidP="00A1363E">
      <w:r>
        <w:separator/>
      </w:r>
    </w:p>
  </w:footnote>
  <w:footnote w:type="continuationSeparator" w:id="0">
    <w:p w:rsidR="00925D83" w:rsidRDefault="00925D83" w:rsidP="00A13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A79"/>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EA16125"/>
    <w:multiLevelType w:val="multilevel"/>
    <w:tmpl w:val="4ABEB18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AF6795"/>
    <w:multiLevelType w:val="hybridMultilevel"/>
    <w:tmpl w:val="AD763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10343EA"/>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15470BBE"/>
    <w:multiLevelType w:val="hybridMultilevel"/>
    <w:tmpl w:val="90E08D26"/>
    <w:lvl w:ilvl="0" w:tplc="D196FC02">
      <w:start w:val="2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E72CAA"/>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25E74DAE"/>
    <w:multiLevelType w:val="hybridMultilevel"/>
    <w:tmpl w:val="B57A9482"/>
    <w:lvl w:ilvl="0" w:tplc="23A0F9BE">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48F63A81"/>
    <w:multiLevelType w:val="multilevel"/>
    <w:tmpl w:val="78CEF270"/>
    <w:lvl w:ilvl="0">
      <w:start w:val="1"/>
      <w:numFmt w:val="decimal"/>
      <w:lvlText w:val="%1."/>
      <w:lvlJc w:val="left"/>
      <w:pPr>
        <w:ind w:left="1778"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4D5C159A"/>
    <w:multiLevelType w:val="hybridMultilevel"/>
    <w:tmpl w:val="5F0251C6"/>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3663361"/>
    <w:multiLevelType w:val="multilevel"/>
    <w:tmpl w:val="78CEF270"/>
    <w:lvl w:ilvl="0">
      <w:start w:val="1"/>
      <w:numFmt w:val="decimal"/>
      <w:lvlText w:val="%1."/>
      <w:lvlJc w:val="left"/>
      <w:pPr>
        <w:ind w:left="502"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0" w15:restartNumberingAfterBreak="0">
    <w:nsid w:val="570C3160"/>
    <w:multiLevelType w:val="hybridMultilevel"/>
    <w:tmpl w:val="78060E22"/>
    <w:lvl w:ilvl="0" w:tplc="D42055A2">
      <w:start w:val="4"/>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1" w15:restartNumberingAfterBreak="0">
    <w:nsid w:val="64F97188"/>
    <w:multiLevelType w:val="multilevel"/>
    <w:tmpl w:val="78CEF270"/>
    <w:lvl w:ilvl="0">
      <w:start w:val="1"/>
      <w:numFmt w:val="decimal"/>
      <w:lvlText w:val="%1."/>
      <w:lvlJc w:val="left"/>
      <w:pPr>
        <w:ind w:left="1778" w:hanging="360"/>
      </w:p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664646C2"/>
    <w:multiLevelType w:val="multilevel"/>
    <w:tmpl w:val="78CEF270"/>
    <w:lvl w:ilvl="0">
      <w:start w:val="1"/>
      <w:numFmt w:val="decimal"/>
      <w:lvlText w:val="%1."/>
      <w:lvlJc w:val="left"/>
      <w:pPr>
        <w:ind w:left="644" w:hanging="360"/>
      </w:pPr>
    </w:lvl>
    <w:lvl w:ilvl="1">
      <w:start w:val="1"/>
      <w:numFmt w:val="decimal"/>
      <w:isLgl/>
      <w:lvlText w:val="%1.%2."/>
      <w:lvlJc w:val="left"/>
      <w:pPr>
        <w:ind w:left="-632" w:hanging="360"/>
      </w:pPr>
      <w:rPr>
        <w:rFonts w:hint="default"/>
      </w:rPr>
    </w:lvl>
    <w:lvl w:ilvl="2">
      <w:start w:val="1"/>
      <w:numFmt w:val="decimal"/>
      <w:isLgl/>
      <w:lvlText w:val="%1.%2.%3."/>
      <w:lvlJc w:val="left"/>
      <w:pPr>
        <w:ind w:left="-272" w:hanging="720"/>
      </w:pPr>
      <w:rPr>
        <w:rFonts w:hint="default"/>
      </w:rPr>
    </w:lvl>
    <w:lvl w:ilvl="3">
      <w:start w:val="1"/>
      <w:numFmt w:val="decimal"/>
      <w:isLgl/>
      <w:lvlText w:val="%1.%2.%3.%4."/>
      <w:lvlJc w:val="left"/>
      <w:pPr>
        <w:ind w:left="-272" w:hanging="720"/>
      </w:pPr>
      <w:rPr>
        <w:rFonts w:hint="default"/>
      </w:rPr>
    </w:lvl>
    <w:lvl w:ilvl="4">
      <w:start w:val="1"/>
      <w:numFmt w:val="decimal"/>
      <w:isLgl/>
      <w:lvlText w:val="%1.%2.%3.%4.%5."/>
      <w:lvlJc w:val="left"/>
      <w:pPr>
        <w:ind w:left="88" w:hanging="1080"/>
      </w:pPr>
      <w:rPr>
        <w:rFonts w:hint="default"/>
      </w:rPr>
    </w:lvl>
    <w:lvl w:ilvl="5">
      <w:start w:val="1"/>
      <w:numFmt w:val="decimal"/>
      <w:isLgl/>
      <w:lvlText w:val="%1.%2.%3.%4.%5.%6."/>
      <w:lvlJc w:val="left"/>
      <w:pPr>
        <w:ind w:left="88" w:hanging="1080"/>
      </w:pPr>
      <w:rPr>
        <w:rFonts w:hint="default"/>
      </w:rPr>
    </w:lvl>
    <w:lvl w:ilvl="6">
      <w:start w:val="1"/>
      <w:numFmt w:val="decimal"/>
      <w:isLgl/>
      <w:lvlText w:val="%1.%2.%3.%4.%5.%6.%7."/>
      <w:lvlJc w:val="left"/>
      <w:pPr>
        <w:ind w:left="448" w:hanging="1440"/>
      </w:pPr>
      <w:rPr>
        <w:rFonts w:hint="default"/>
      </w:rPr>
    </w:lvl>
    <w:lvl w:ilvl="7">
      <w:start w:val="1"/>
      <w:numFmt w:val="decimal"/>
      <w:isLgl/>
      <w:lvlText w:val="%1.%2.%3.%4.%5.%6.%7.%8."/>
      <w:lvlJc w:val="left"/>
      <w:pPr>
        <w:ind w:left="448" w:hanging="1440"/>
      </w:pPr>
      <w:rPr>
        <w:rFonts w:hint="default"/>
      </w:rPr>
    </w:lvl>
    <w:lvl w:ilvl="8">
      <w:start w:val="1"/>
      <w:numFmt w:val="decimal"/>
      <w:isLgl/>
      <w:lvlText w:val="%1.%2.%3.%4.%5.%6.%7.%8.%9."/>
      <w:lvlJc w:val="left"/>
      <w:pPr>
        <w:ind w:left="808" w:hanging="1800"/>
      </w:pPr>
      <w:rPr>
        <w:rFonts w:hint="default"/>
      </w:rPr>
    </w:lvl>
  </w:abstractNum>
  <w:abstractNum w:abstractNumId="13" w15:restartNumberingAfterBreak="0">
    <w:nsid w:val="6B93239E"/>
    <w:multiLevelType w:val="multilevel"/>
    <w:tmpl w:val="192CF3B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4524DAB"/>
    <w:multiLevelType w:val="hybridMultilevel"/>
    <w:tmpl w:val="68805D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AB2F22"/>
    <w:multiLevelType w:val="multilevel"/>
    <w:tmpl w:val="B89CCED4"/>
    <w:lvl w:ilvl="0">
      <w:start w:val="1"/>
      <w:numFmt w:val="decimal"/>
      <w:lvlText w:val="%1."/>
      <w:lvlJc w:val="left"/>
      <w:pPr>
        <w:ind w:left="1080" w:hanging="360"/>
      </w:pPr>
      <w:rPr>
        <w:rFonts w:hint="default"/>
      </w:rPr>
    </w:lvl>
    <w:lvl w:ilvl="1">
      <w:start w:val="2"/>
      <w:numFmt w:val="decimal"/>
      <w:isLgl/>
      <w:lvlText w:val="%1.%2."/>
      <w:lvlJc w:val="left"/>
      <w:pPr>
        <w:ind w:left="163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2"/>
  </w:num>
  <w:num w:numId="3">
    <w:abstractNumId w:val="9"/>
  </w:num>
  <w:num w:numId="4">
    <w:abstractNumId w:val="10"/>
  </w:num>
  <w:num w:numId="5">
    <w:abstractNumId w:val="11"/>
  </w:num>
  <w:num w:numId="6">
    <w:abstractNumId w:val="3"/>
  </w:num>
  <w:num w:numId="7">
    <w:abstractNumId w:val="1"/>
  </w:num>
  <w:num w:numId="8">
    <w:abstractNumId w:val="12"/>
  </w:num>
  <w:num w:numId="9">
    <w:abstractNumId w:val="14"/>
  </w:num>
  <w:num w:numId="10">
    <w:abstractNumId w:val="8"/>
  </w:num>
  <w:num w:numId="11">
    <w:abstractNumId w:val="5"/>
  </w:num>
  <w:num w:numId="12">
    <w:abstractNumId w:val="15"/>
  </w:num>
  <w:num w:numId="13">
    <w:abstractNumId w:val="13"/>
  </w:num>
  <w:num w:numId="14">
    <w:abstractNumId w:val="6"/>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7F"/>
    <w:rsid w:val="00000547"/>
    <w:rsid w:val="0000247F"/>
    <w:rsid w:val="000067F3"/>
    <w:rsid w:val="00025456"/>
    <w:rsid w:val="000330B3"/>
    <w:rsid w:val="0006328A"/>
    <w:rsid w:val="000D0A75"/>
    <w:rsid w:val="000D6AF1"/>
    <w:rsid w:val="000F2CFB"/>
    <w:rsid w:val="000F412D"/>
    <w:rsid w:val="00120287"/>
    <w:rsid w:val="00123372"/>
    <w:rsid w:val="00124074"/>
    <w:rsid w:val="00131236"/>
    <w:rsid w:val="001367D9"/>
    <w:rsid w:val="00155EA6"/>
    <w:rsid w:val="0017035C"/>
    <w:rsid w:val="001B2C6B"/>
    <w:rsid w:val="00204F84"/>
    <w:rsid w:val="00226BAE"/>
    <w:rsid w:val="00233536"/>
    <w:rsid w:val="00254712"/>
    <w:rsid w:val="002639A7"/>
    <w:rsid w:val="00264DB1"/>
    <w:rsid w:val="0027488B"/>
    <w:rsid w:val="002A027D"/>
    <w:rsid w:val="002A7911"/>
    <w:rsid w:val="002C066D"/>
    <w:rsid w:val="002E1531"/>
    <w:rsid w:val="002E6FE1"/>
    <w:rsid w:val="00313BED"/>
    <w:rsid w:val="003148E7"/>
    <w:rsid w:val="00336B84"/>
    <w:rsid w:val="00361DAA"/>
    <w:rsid w:val="00366CE0"/>
    <w:rsid w:val="003806BA"/>
    <w:rsid w:val="00384BD1"/>
    <w:rsid w:val="003B698F"/>
    <w:rsid w:val="003C0B7D"/>
    <w:rsid w:val="003D63C1"/>
    <w:rsid w:val="003F7878"/>
    <w:rsid w:val="0040344F"/>
    <w:rsid w:val="00414187"/>
    <w:rsid w:val="00415FB8"/>
    <w:rsid w:val="004402AB"/>
    <w:rsid w:val="00450302"/>
    <w:rsid w:val="00461502"/>
    <w:rsid w:val="00472ADA"/>
    <w:rsid w:val="004A1CFC"/>
    <w:rsid w:val="004B1AE9"/>
    <w:rsid w:val="004C74A3"/>
    <w:rsid w:val="004E722C"/>
    <w:rsid w:val="004E7B9B"/>
    <w:rsid w:val="004F737A"/>
    <w:rsid w:val="004F77D4"/>
    <w:rsid w:val="00510A12"/>
    <w:rsid w:val="00510C63"/>
    <w:rsid w:val="0051564B"/>
    <w:rsid w:val="005159E7"/>
    <w:rsid w:val="00517C3F"/>
    <w:rsid w:val="00527577"/>
    <w:rsid w:val="00532E48"/>
    <w:rsid w:val="00540882"/>
    <w:rsid w:val="00561618"/>
    <w:rsid w:val="00584148"/>
    <w:rsid w:val="005841B1"/>
    <w:rsid w:val="00597593"/>
    <w:rsid w:val="005B26EA"/>
    <w:rsid w:val="005E19FC"/>
    <w:rsid w:val="006316B9"/>
    <w:rsid w:val="0064239B"/>
    <w:rsid w:val="00651E21"/>
    <w:rsid w:val="006A1496"/>
    <w:rsid w:val="006A2326"/>
    <w:rsid w:val="006A270B"/>
    <w:rsid w:val="006A3B25"/>
    <w:rsid w:val="006A6B80"/>
    <w:rsid w:val="006B63B5"/>
    <w:rsid w:val="006D59EC"/>
    <w:rsid w:val="006E5152"/>
    <w:rsid w:val="006E75D0"/>
    <w:rsid w:val="006F3940"/>
    <w:rsid w:val="007008F7"/>
    <w:rsid w:val="00703DD7"/>
    <w:rsid w:val="00720854"/>
    <w:rsid w:val="007338D2"/>
    <w:rsid w:val="0074709A"/>
    <w:rsid w:val="00750729"/>
    <w:rsid w:val="00767AAD"/>
    <w:rsid w:val="00786640"/>
    <w:rsid w:val="00791538"/>
    <w:rsid w:val="007A1A42"/>
    <w:rsid w:val="007C0D75"/>
    <w:rsid w:val="007F140A"/>
    <w:rsid w:val="007F4FAC"/>
    <w:rsid w:val="008022BD"/>
    <w:rsid w:val="00806029"/>
    <w:rsid w:val="008144CC"/>
    <w:rsid w:val="00817FAE"/>
    <w:rsid w:val="0082391D"/>
    <w:rsid w:val="00826466"/>
    <w:rsid w:val="00853775"/>
    <w:rsid w:val="00866FD4"/>
    <w:rsid w:val="00874D9D"/>
    <w:rsid w:val="008A0AED"/>
    <w:rsid w:val="008B3AA3"/>
    <w:rsid w:val="008C037D"/>
    <w:rsid w:val="008C0C01"/>
    <w:rsid w:val="008C47F6"/>
    <w:rsid w:val="008D7E97"/>
    <w:rsid w:val="008F4354"/>
    <w:rsid w:val="00916DA8"/>
    <w:rsid w:val="00925D83"/>
    <w:rsid w:val="0093375E"/>
    <w:rsid w:val="009512FA"/>
    <w:rsid w:val="009529D2"/>
    <w:rsid w:val="00962BA6"/>
    <w:rsid w:val="00966A98"/>
    <w:rsid w:val="00980A7A"/>
    <w:rsid w:val="00984816"/>
    <w:rsid w:val="009B1EE4"/>
    <w:rsid w:val="009C435F"/>
    <w:rsid w:val="009F4B69"/>
    <w:rsid w:val="00A06927"/>
    <w:rsid w:val="00A1363E"/>
    <w:rsid w:val="00A15801"/>
    <w:rsid w:val="00A171EC"/>
    <w:rsid w:val="00A41370"/>
    <w:rsid w:val="00A52A63"/>
    <w:rsid w:val="00A56F21"/>
    <w:rsid w:val="00A625F2"/>
    <w:rsid w:val="00A64F07"/>
    <w:rsid w:val="00A66CBB"/>
    <w:rsid w:val="00A6720C"/>
    <w:rsid w:val="00A73CDD"/>
    <w:rsid w:val="00A84EA4"/>
    <w:rsid w:val="00A93F2C"/>
    <w:rsid w:val="00AA30FD"/>
    <w:rsid w:val="00AA648F"/>
    <w:rsid w:val="00AD456E"/>
    <w:rsid w:val="00B04CC1"/>
    <w:rsid w:val="00B17BDF"/>
    <w:rsid w:val="00B30DBF"/>
    <w:rsid w:val="00B71591"/>
    <w:rsid w:val="00B7185C"/>
    <w:rsid w:val="00B939D5"/>
    <w:rsid w:val="00BA0219"/>
    <w:rsid w:val="00BA6E33"/>
    <w:rsid w:val="00BB2E04"/>
    <w:rsid w:val="00BC116A"/>
    <w:rsid w:val="00BC6C1C"/>
    <w:rsid w:val="00BF6DF0"/>
    <w:rsid w:val="00C1223B"/>
    <w:rsid w:val="00C17698"/>
    <w:rsid w:val="00C262B9"/>
    <w:rsid w:val="00C3545D"/>
    <w:rsid w:val="00C36799"/>
    <w:rsid w:val="00C62405"/>
    <w:rsid w:val="00C6253C"/>
    <w:rsid w:val="00C64F36"/>
    <w:rsid w:val="00C64F67"/>
    <w:rsid w:val="00C81434"/>
    <w:rsid w:val="00C858C7"/>
    <w:rsid w:val="00CA17E7"/>
    <w:rsid w:val="00CB3BBB"/>
    <w:rsid w:val="00CB5A1F"/>
    <w:rsid w:val="00CD5364"/>
    <w:rsid w:val="00CE229B"/>
    <w:rsid w:val="00D024C4"/>
    <w:rsid w:val="00D118FC"/>
    <w:rsid w:val="00D3293F"/>
    <w:rsid w:val="00D35E8A"/>
    <w:rsid w:val="00D56645"/>
    <w:rsid w:val="00DB17FA"/>
    <w:rsid w:val="00E04753"/>
    <w:rsid w:val="00E10EA5"/>
    <w:rsid w:val="00E112FC"/>
    <w:rsid w:val="00E32118"/>
    <w:rsid w:val="00E422BB"/>
    <w:rsid w:val="00E80A84"/>
    <w:rsid w:val="00E91D92"/>
    <w:rsid w:val="00E92554"/>
    <w:rsid w:val="00EA0431"/>
    <w:rsid w:val="00EA06A1"/>
    <w:rsid w:val="00EB168A"/>
    <w:rsid w:val="00EB18C1"/>
    <w:rsid w:val="00ED19C7"/>
    <w:rsid w:val="00F11254"/>
    <w:rsid w:val="00F20337"/>
    <w:rsid w:val="00F22C76"/>
    <w:rsid w:val="00F24144"/>
    <w:rsid w:val="00F43D5E"/>
    <w:rsid w:val="00F450EE"/>
    <w:rsid w:val="00F4732B"/>
    <w:rsid w:val="00F820FB"/>
    <w:rsid w:val="00F903D3"/>
    <w:rsid w:val="00F933A4"/>
    <w:rsid w:val="00FA5662"/>
    <w:rsid w:val="00FB32BE"/>
    <w:rsid w:val="00FB497B"/>
    <w:rsid w:val="00FF68C3"/>
    <w:rsid w:val="00FF77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1474C-62D0-41DA-97E2-A341A4D8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502"/>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7185C"/>
    <w:rPr>
      <w:color w:val="808080"/>
    </w:rPr>
  </w:style>
  <w:style w:type="paragraph" w:styleId="Nosaukums">
    <w:name w:val="Title"/>
    <w:basedOn w:val="Parasts"/>
    <w:next w:val="Parasts"/>
    <w:link w:val="NosaukumsRakstz"/>
    <w:uiPriority w:val="10"/>
    <w:qFormat/>
    <w:rsid w:val="00517C3F"/>
    <w:pPr>
      <w:spacing w:line="216" w:lineRule="auto"/>
      <w:contextualSpacing/>
    </w:pPr>
    <w:rPr>
      <w:rFonts w:asciiTheme="majorHAnsi" w:eastAsiaTheme="majorEastAsia" w:hAnsiTheme="majorHAnsi" w:cstheme="majorBidi"/>
      <w:color w:val="404040" w:themeColor="text1" w:themeTint="BF"/>
      <w:spacing w:val="-10"/>
      <w:kern w:val="28"/>
      <w:sz w:val="56"/>
      <w:szCs w:val="56"/>
      <w:lang w:val="lv-LV" w:eastAsia="lv-LV"/>
    </w:rPr>
  </w:style>
  <w:style w:type="character" w:customStyle="1" w:styleId="NosaukumsRakstz">
    <w:name w:val="Nosaukums Rakstz."/>
    <w:basedOn w:val="Noklusjumarindkopasfonts"/>
    <w:link w:val="Nosaukums"/>
    <w:uiPriority w:val="10"/>
    <w:rsid w:val="00517C3F"/>
    <w:rPr>
      <w:rFonts w:asciiTheme="majorHAnsi" w:eastAsiaTheme="majorEastAsia" w:hAnsiTheme="majorHAnsi" w:cstheme="majorBidi"/>
      <w:color w:val="404040" w:themeColor="text1" w:themeTint="BF"/>
      <w:spacing w:val="-10"/>
      <w:kern w:val="28"/>
      <w:sz w:val="56"/>
      <w:szCs w:val="56"/>
      <w:lang w:eastAsia="lv-LV"/>
    </w:rPr>
  </w:style>
  <w:style w:type="paragraph" w:styleId="Apakvirsraksts">
    <w:name w:val="Subtitle"/>
    <w:basedOn w:val="Parasts"/>
    <w:next w:val="Parasts"/>
    <w:link w:val="ApakvirsrakstsRakstz"/>
    <w:uiPriority w:val="11"/>
    <w:qFormat/>
    <w:rsid w:val="00517C3F"/>
    <w:pPr>
      <w:numPr>
        <w:ilvl w:val="1"/>
      </w:numPr>
      <w:spacing w:after="160" w:line="259" w:lineRule="auto"/>
    </w:pPr>
    <w:rPr>
      <w:rFonts w:asciiTheme="minorHAnsi" w:eastAsiaTheme="minorEastAsia" w:hAnsiTheme="minorHAnsi"/>
      <w:color w:val="5A5A5A" w:themeColor="text1" w:themeTint="A5"/>
      <w:spacing w:val="15"/>
      <w:sz w:val="22"/>
      <w:szCs w:val="22"/>
      <w:lang w:val="lv-LV" w:eastAsia="lv-LV"/>
    </w:rPr>
  </w:style>
  <w:style w:type="character" w:customStyle="1" w:styleId="ApakvirsrakstsRakstz">
    <w:name w:val="Apakšvirsraksts Rakstz."/>
    <w:basedOn w:val="Noklusjumarindkopasfonts"/>
    <w:link w:val="Apakvirsraksts"/>
    <w:uiPriority w:val="11"/>
    <w:rsid w:val="00517C3F"/>
    <w:rPr>
      <w:rFonts w:eastAsiaTheme="minorEastAsia" w:cs="Times New Roman"/>
      <w:color w:val="5A5A5A" w:themeColor="text1" w:themeTint="A5"/>
      <w:spacing w:val="15"/>
      <w:lang w:eastAsia="lv-LV"/>
    </w:rPr>
  </w:style>
  <w:style w:type="table" w:styleId="Reatabula1gaia-izclums1">
    <w:name w:val="Grid Table 1 Light Accent 1"/>
    <w:basedOn w:val="Parastatabula"/>
    <w:uiPriority w:val="46"/>
    <w:rsid w:val="00517C3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Galvene">
    <w:name w:val="header"/>
    <w:basedOn w:val="Parasts"/>
    <w:link w:val="GalveneRakstz"/>
    <w:uiPriority w:val="99"/>
    <w:unhideWhenUsed/>
    <w:rsid w:val="00A1363E"/>
    <w:pPr>
      <w:tabs>
        <w:tab w:val="center" w:pos="4153"/>
        <w:tab w:val="right" w:pos="8306"/>
      </w:tabs>
    </w:pPr>
  </w:style>
  <w:style w:type="character" w:customStyle="1" w:styleId="GalveneRakstz">
    <w:name w:val="Galvene Rakstz."/>
    <w:basedOn w:val="Noklusjumarindkopasfonts"/>
    <w:link w:val="Galvene"/>
    <w:uiPriority w:val="99"/>
    <w:rsid w:val="00A1363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A1363E"/>
    <w:pPr>
      <w:tabs>
        <w:tab w:val="center" w:pos="4153"/>
        <w:tab w:val="right" w:pos="8306"/>
      </w:tabs>
    </w:pPr>
  </w:style>
  <w:style w:type="character" w:customStyle="1" w:styleId="KjeneRakstz">
    <w:name w:val="Kājene Rakstz."/>
    <w:basedOn w:val="Noklusjumarindkopasfonts"/>
    <w:link w:val="Kjene"/>
    <w:uiPriority w:val="99"/>
    <w:rsid w:val="00A1363E"/>
    <w:rPr>
      <w:rFonts w:ascii="Times New Roman" w:eastAsia="Times New Roman" w:hAnsi="Times New Roman" w:cs="Times New Roman"/>
      <w:sz w:val="24"/>
      <w:szCs w:val="24"/>
      <w:lang w:val="en-GB"/>
    </w:rPr>
  </w:style>
  <w:style w:type="paragraph" w:styleId="Sarakstarindkopa">
    <w:name w:val="List Paragraph"/>
    <w:basedOn w:val="Parasts"/>
    <w:uiPriority w:val="34"/>
    <w:qFormat/>
    <w:rsid w:val="008F4354"/>
    <w:pPr>
      <w:ind w:left="720"/>
      <w:contextualSpacing/>
    </w:pPr>
  </w:style>
  <w:style w:type="paragraph" w:styleId="Balonteksts">
    <w:name w:val="Balloon Text"/>
    <w:basedOn w:val="Parasts"/>
    <w:link w:val="BalontekstsRakstz"/>
    <w:rsid w:val="00C64F36"/>
    <w:rPr>
      <w:rFonts w:ascii="Segoe UI" w:hAnsi="Segoe UI" w:cs="Segoe UI"/>
      <w:sz w:val="18"/>
      <w:szCs w:val="18"/>
    </w:rPr>
  </w:style>
  <w:style w:type="character" w:customStyle="1" w:styleId="BalontekstsRakstz">
    <w:name w:val="Balonteksts Rakstz."/>
    <w:basedOn w:val="Noklusjumarindkopasfonts"/>
    <w:link w:val="Balonteksts"/>
    <w:rsid w:val="00C64F36"/>
    <w:rPr>
      <w:rFonts w:ascii="Segoe UI" w:eastAsia="Times New Roman" w:hAnsi="Segoe UI" w:cs="Segoe UI"/>
      <w:sz w:val="18"/>
      <w:szCs w:val="18"/>
      <w:lang w:val="en-GB"/>
    </w:rPr>
  </w:style>
  <w:style w:type="character" w:styleId="Hipersaite">
    <w:name w:val="Hyperlink"/>
    <w:basedOn w:val="Noklusjumarindkopasfonts"/>
    <w:uiPriority w:val="99"/>
    <w:unhideWhenUsed/>
    <w:rsid w:val="00CA1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0567E-6AD7-4623-9E47-7DAE7FB15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1377</Words>
  <Characters>786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Deputats</cp:lastModifiedBy>
  <cp:revision>3</cp:revision>
  <cp:lastPrinted>2018-06-29T10:25:00Z</cp:lastPrinted>
  <dcterms:created xsi:type="dcterms:W3CDTF">2018-06-29T10:57:00Z</dcterms:created>
  <dcterms:modified xsi:type="dcterms:W3CDTF">2018-06-29T10:58:00Z</dcterms:modified>
</cp:coreProperties>
</file>