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377" w:rsidRDefault="00CD1377" w:rsidP="00CD1377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CD1377" w:rsidRDefault="00CD1377" w:rsidP="00CD13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CD1377" w:rsidRDefault="00CD1377" w:rsidP="00CD13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D2553F" w:rsidRDefault="00D2553F" w:rsidP="00292930"/>
    <w:p w:rsidR="006B213E" w:rsidRDefault="006B213E" w:rsidP="00292930"/>
    <w:p w:rsidR="00D2553F" w:rsidRDefault="00CD1377">
      <w:pPr>
        <w:jc w:val="center"/>
        <w:rPr>
          <w:b/>
          <w:sz w:val="28"/>
          <w:szCs w:val="28"/>
        </w:rPr>
      </w:pPr>
      <w:r>
        <w:rPr>
          <w:noProof/>
          <w:lang w:eastAsia="lv-LV" w:bidi="ar-SA"/>
        </w:rPr>
        <w:drawing>
          <wp:anchor distT="0" distB="0" distL="114300" distR="114300" simplePos="0" relativeHeight="251658240" behindDoc="1" locked="0" layoutInCell="1" allowOverlap="1" wp14:anchorId="3C5E031C" wp14:editId="7DAA0C01">
            <wp:simplePos x="0" y="0"/>
            <wp:positionH relativeFrom="column">
              <wp:posOffset>81280</wp:posOffset>
            </wp:positionH>
            <wp:positionV relativeFrom="paragraph">
              <wp:posOffset>94615</wp:posOffset>
            </wp:positionV>
            <wp:extent cx="2647950" cy="1758315"/>
            <wp:effectExtent l="171450" t="171450" r="190500" b="184785"/>
            <wp:wrapTight wrapText="bothSides">
              <wp:wrapPolygon edited="0">
                <wp:start x="-932" y="-2106"/>
                <wp:lineTo x="-1399" y="-1638"/>
                <wp:lineTo x="-1243" y="23636"/>
                <wp:lineTo x="22843" y="23636"/>
                <wp:lineTo x="22999" y="2106"/>
                <wp:lineTo x="22688" y="-1404"/>
                <wp:lineTo x="22688" y="-2106"/>
                <wp:lineTo x="-932" y="-2106"/>
              </wp:wrapPolygon>
            </wp:wrapTight>
            <wp:docPr id="1" name="Attēls 1" descr="Attēlu rezultāti vaicājumam “theat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heatr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8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3F">
        <w:rPr>
          <w:b/>
          <w:sz w:val="28"/>
          <w:szCs w:val="28"/>
        </w:rPr>
        <w:t>Izglītības un kultūras iestāžu skolēnu teātru izrāžu parāde –</w:t>
      </w:r>
    </w:p>
    <w:p w:rsidR="00CD1377" w:rsidRDefault="00D25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 Starptautiskais</w:t>
      </w:r>
      <w:r>
        <w:rPr>
          <w:b/>
          <w:color w:val="FF0000"/>
          <w:sz w:val="28"/>
          <w:szCs w:val="28"/>
        </w:rPr>
        <w:t xml:space="preserve"> </w:t>
      </w:r>
      <w:bookmarkStart w:id="0" w:name="_Hlk499297043"/>
      <w:r>
        <w:rPr>
          <w:b/>
          <w:sz w:val="28"/>
          <w:szCs w:val="28"/>
        </w:rPr>
        <w:t xml:space="preserve">bērnu un jauniešu teātru festivāls </w:t>
      </w:r>
    </w:p>
    <w:p w:rsidR="00D2553F" w:rsidRPr="00CD1377" w:rsidRDefault="00D2553F">
      <w:pPr>
        <w:jc w:val="center"/>
        <w:rPr>
          <w:b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CD1377">
        <w:rPr>
          <w:b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“...un es iešu un iešu!” </w:t>
      </w:r>
      <w:bookmarkEnd w:id="0"/>
    </w:p>
    <w:p w:rsidR="00D2553F" w:rsidRDefault="00D2553F">
      <w:pPr>
        <w:jc w:val="center"/>
        <w:rPr>
          <w:b/>
          <w:sz w:val="28"/>
          <w:szCs w:val="28"/>
          <w:shd w:val="clear" w:color="auto" w:fill="FFFF99"/>
        </w:rPr>
      </w:pPr>
      <w:r>
        <w:rPr>
          <w:b/>
          <w:sz w:val="28"/>
          <w:szCs w:val="28"/>
        </w:rPr>
        <w:t>Latvijas valsts 100gadei</w:t>
      </w:r>
    </w:p>
    <w:p w:rsidR="00D2553F" w:rsidRDefault="00D2553F">
      <w:pPr>
        <w:jc w:val="center"/>
        <w:rPr>
          <w:b/>
          <w:sz w:val="28"/>
          <w:szCs w:val="28"/>
          <w:shd w:val="clear" w:color="auto" w:fill="FFFF99"/>
        </w:rPr>
      </w:pPr>
    </w:p>
    <w:p w:rsidR="00D2553F" w:rsidRDefault="00D2553F">
      <w:pPr>
        <w:jc w:val="center"/>
      </w:pPr>
      <w:r>
        <w:rPr>
          <w:b/>
          <w:sz w:val="28"/>
          <w:szCs w:val="28"/>
        </w:rPr>
        <w:t>NOLIKUMS</w:t>
      </w:r>
    </w:p>
    <w:p w:rsidR="00D2553F" w:rsidRDefault="00D2553F">
      <w:pPr>
        <w:jc w:val="center"/>
      </w:pPr>
    </w:p>
    <w:p w:rsidR="00D2553F" w:rsidRDefault="00D2553F">
      <w:pPr>
        <w:rPr>
          <w:rFonts w:cs="Times New Roman"/>
        </w:rPr>
      </w:pPr>
      <w:r>
        <w:rPr>
          <w:b/>
        </w:rPr>
        <w:t>MĒRĶI UN UZDEVUMI</w:t>
      </w:r>
    </w:p>
    <w:p w:rsidR="00D2553F" w:rsidRDefault="00D2553F">
      <w:pPr>
        <w:ind w:firstLine="709"/>
        <w:jc w:val="both"/>
        <w:rPr>
          <w:rFonts w:cs="Times New Roman"/>
        </w:rPr>
      </w:pPr>
      <w:r>
        <w:rPr>
          <w:rFonts w:cs="Times New Roman"/>
        </w:rPr>
        <w:t>1. Veicināt bērnu un jauniešu talanta, prasmju un spēju izkopšanu teātra mākslas jomā.</w:t>
      </w:r>
    </w:p>
    <w:p w:rsidR="00D2553F" w:rsidRDefault="00D2553F">
      <w:pPr>
        <w:ind w:firstLine="709"/>
        <w:jc w:val="both"/>
        <w:rPr>
          <w:rFonts w:cs="Times New Roman"/>
        </w:rPr>
      </w:pPr>
      <w:r>
        <w:rPr>
          <w:rFonts w:cs="Times New Roman"/>
        </w:rPr>
        <w:t>2. Nodrošināt skolēnu teātra spēles tradīcijas saglabāšanu un attīstību Latvijas skolu jaunatnes dziesmu un deju svētku procesā.</w:t>
      </w:r>
    </w:p>
    <w:p w:rsidR="00D2553F" w:rsidRDefault="00D2553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Rosināt skolu teātrus tuvāk iepazīt latviešu dramaturgu darbus. </w:t>
      </w:r>
    </w:p>
    <w:p w:rsidR="00D2553F" w:rsidRDefault="00D2553F">
      <w:pPr>
        <w:ind w:firstLine="709"/>
        <w:jc w:val="both"/>
      </w:pPr>
      <w:r>
        <w:rPr>
          <w:rFonts w:cs="Times New Roman"/>
        </w:rPr>
        <w:t>4. Apzināt un vērtēt skolēnu teātru kvantitatīvo un kvalitatīvo sastāvu, sekmējot katra teātra māksliniecisko izaugsmi un snieguma kvalitāti un veicinot pieredzes apmaiņu un labās prakses piemēru popularizēšanu.</w:t>
      </w:r>
    </w:p>
    <w:p w:rsidR="00D2553F" w:rsidRDefault="00D2553F"/>
    <w:p w:rsidR="00D2553F" w:rsidRDefault="00D2553F">
      <w:pPr>
        <w:rPr>
          <w:color w:val="FF0000"/>
        </w:rPr>
      </w:pPr>
      <w:r>
        <w:rPr>
          <w:b/>
        </w:rPr>
        <w:t>ORGANIZATORI</w:t>
      </w:r>
    </w:p>
    <w:p w:rsidR="00CD1377" w:rsidRDefault="00CD1377" w:rsidP="00CD1377">
      <w:pPr>
        <w:jc w:val="both"/>
      </w:pPr>
      <w:r w:rsidRPr="00EC5C02">
        <w:t xml:space="preserve">   </w:t>
      </w:r>
      <w:r w:rsidRPr="00EC5C02">
        <w:tab/>
      </w:r>
      <w:r>
        <w:tab/>
      </w:r>
      <w:r w:rsidRPr="009266D5">
        <w:t>Kandavas novada Izglītības pārvalde sadarbībā ar Kandavas novada izglītības iestādēm.</w:t>
      </w:r>
    </w:p>
    <w:p w:rsidR="00D2553F" w:rsidRDefault="00D2553F"/>
    <w:p w:rsidR="00D2553F" w:rsidRDefault="00D2553F">
      <w:r>
        <w:rPr>
          <w:b/>
        </w:rPr>
        <w:t>DALĪBNIEKI</w:t>
      </w:r>
    </w:p>
    <w:p w:rsidR="00D2553F" w:rsidRDefault="00D2553F">
      <w:pPr>
        <w:ind w:firstLine="709"/>
        <w:jc w:val="both"/>
      </w:pPr>
      <w:r>
        <w:t>Latvijas izglītības un kultūras iestāžu skolēnu teātru kolektīvi, teātra pulciņi, studijas (turpmāk – teātri), kā arī kolektīvi no Lietuvas un Igaunijas.</w:t>
      </w:r>
    </w:p>
    <w:p w:rsidR="00D2553F" w:rsidRDefault="00D2553F">
      <w:pPr>
        <w:ind w:firstLine="709"/>
        <w:jc w:val="both"/>
        <w:rPr>
          <w:b/>
        </w:rPr>
      </w:pPr>
      <w:r>
        <w:t>Dalībnieki ir atbildīgi par autortiesību ievērošanu saskaņā ar Latvijas Republikas normatīvajos aktos noteikto.</w:t>
      </w:r>
    </w:p>
    <w:p w:rsidR="00D2553F" w:rsidRDefault="00D2553F">
      <w:pPr>
        <w:rPr>
          <w:b/>
        </w:rPr>
      </w:pPr>
    </w:p>
    <w:p w:rsidR="00D2553F" w:rsidRDefault="00D2553F">
      <w:pPr>
        <w:rPr>
          <w:b/>
        </w:rPr>
      </w:pPr>
      <w:r>
        <w:rPr>
          <w:b/>
        </w:rPr>
        <w:t>NORISE</w:t>
      </w:r>
    </w:p>
    <w:p w:rsidR="00D2553F" w:rsidRDefault="00D2553F">
      <w:pPr>
        <w:ind w:firstLine="709"/>
      </w:pPr>
      <w:r>
        <w:rPr>
          <w:b/>
        </w:rPr>
        <w:t>1.posms</w:t>
      </w:r>
      <w:r>
        <w:t xml:space="preserve"> - Teātra izrāžu sagatavošana un izvērtēšana skolās, novados un reģionos – līdz 2018.gada 26.martam. </w:t>
      </w:r>
    </w:p>
    <w:p w:rsidR="00CD1377" w:rsidRPr="00CA57B0" w:rsidRDefault="00CD1377">
      <w:pPr>
        <w:ind w:firstLine="709"/>
        <w:rPr>
          <w:b/>
          <w:u w:val="single"/>
        </w:rPr>
      </w:pPr>
      <w:r w:rsidRPr="00CA57B0">
        <w:rPr>
          <w:b/>
          <w:u w:val="single"/>
        </w:rPr>
        <w:t xml:space="preserve">Kandavas novada teātru festivāls </w:t>
      </w:r>
      <w:r w:rsidR="00CA57B0" w:rsidRPr="00CA57B0">
        <w:rPr>
          <w:b/>
          <w:u w:val="single"/>
        </w:rPr>
        <w:t>7.martā plkst. 10:00.</w:t>
      </w:r>
    </w:p>
    <w:p w:rsidR="00CA57B0" w:rsidRPr="00CA57B0" w:rsidRDefault="00CA57B0" w:rsidP="00CA57B0">
      <w:pPr>
        <w:ind w:firstLine="709"/>
        <w:rPr>
          <w:b/>
        </w:rPr>
      </w:pPr>
      <w:r w:rsidRPr="00CA57B0">
        <w:rPr>
          <w:b/>
        </w:rPr>
        <w:t>Norises vieta tiks paziņota pēc pieteikumu saņemšanas.</w:t>
      </w:r>
    </w:p>
    <w:p w:rsidR="00CA57B0" w:rsidRPr="00CA57B0" w:rsidRDefault="00CA57B0" w:rsidP="00CA57B0">
      <w:pPr>
        <w:ind w:firstLine="709"/>
        <w:rPr>
          <w:b/>
        </w:rPr>
      </w:pPr>
      <w:r w:rsidRPr="00CA57B0">
        <w:rPr>
          <w:b/>
        </w:rPr>
        <w:t>Pieteikšanās 1.kārtai līdz š.g. 28.februārim sūtot elektronisku pieteikuma anketu uz e-pasta adresi jcnagla@inbox.lv</w:t>
      </w:r>
    </w:p>
    <w:p w:rsidR="00CA57B0" w:rsidRDefault="00CA57B0" w:rsidP="00CA57B0">
      <w:pPr>
        <w:ind w:firstLine="709"/>
      </w:pPr>
      <w:r>
        <w:t>2.kārtai konkursantus izvirza Kandavas novada Izglītības pārvalde.</w:t>
      </w:r>
    </w:p>
    <w:p w:rsidR="00CA57B0" w:rsidRPr="00CA57B0" w:rsidRDefault="00CA57B0" w:rsidP="00CA57B0">
      <w:pPr>
        <w:ind w:firstLine="709"/>
      </w:pPr>
    </w:p>
    <w:p w:rsidR="00D2553F" w:rsidRDefault="00D2553F">
      <w:pPr>
        <w:ind w:firstLine="709"/>
      </w:pPr>
      <w:r>
        <w:rPr>
          <w:b/>
        </w:rPr>
        <w:t>2.posms</w:t>
      </w:r>
      <w:r>
        <w:t xml:space="preserve"> - Izrāžu parāde:</w:t>
      </w:r>
    </w:p>
    <w:p w:rsidR="00D2553F" w:rsidRDefault="00D2553F">
      <w:r>
        <w:t xml:space="preserve">2018.gada 20.aprīlī Valmieras </w:t>
      </w:r>
      <w:r w:rsidR="00CE7461">
        <w:t xml:space="preserve">drāmas </w:t>
      </w:r>
      <w:r>
        <w:t>teātrī,</w:t>
      </w:r>
    </w:p>
    <w:p w:rsidR="00D2553F" w:rsidRDefault="00D2553F">
      <w:r>
        <w:t>2018.gada 21.aprīlī Valmieras Viestura vidusskolā.</w:t>
      </w:r>
    </w:p>
    <w:p w:rsidR="00CA57B0" w:rsidRDefault="00CA57B0" w:rsidP="00CA57B0">
      <w:pPr>
        <w:ind w:firstLine="709"/>
      </w:pPr>
      <w:r>
        <w:t>2.kārtai konkursantus izvirza Kandavas novada Izglītības pārvalde.</w:t>
      </w:r>
    </w:p>
    <w:p w:rsidR="00D2553F" w:rsidRDefault="00D2553F">
      <w:pPr>
        <w:jc w:val="both"/>
      </w:pPr>
    </w:p>
    <w:p w:rsidR="00D2553F" w:rsidRDefault="00D2553F">
      <w:pPr>
        <w:jc w:val="both"/>
      </w:pPr>
      <w:r>
        <w:rPr>
          <w:b/>
        </w:rPr>
        <w:t xml:space="preserve">PIETEIKŠANĀS </w:t>
      </w:r>
    </w:p>
    <w:p w:rsidR="00CA57B0" w:rsidRPr="00CA57B0" w:rsidRDefault="00CA57B0" w:rsidP="00CA57B0">
      <w:pPr>
        <w:ind w:firstLine="709"/>
        <w:rPr>
          <w:b/>
        </w:rPr>
      </w:pPr>
      <w:r w:rsidRPr="00CA57B0">
        <w:rPr>
          <w:b/>
        </w:rPr>
        <w:t>Pieteikšanās 1.kārtai līdz š.g. 28.februārim sūtot elektronisku pieteikuma anketu uz e-pasta adresi jcnagla@inbox.lv</w:t>
      </w:r>
    </w:p>
    <w:p w:rsidR="00D2553F" w:rsidRDefault="00CD1377">
      <w:pPr>
        <w:ind w:firstLine="709"/>
        <w:jc w:val="both"/>
      </w:pPr>
      <w:r>
        <w:lastRenderedPageBreak/>
        <w:t xml:space="preserve">2. posmam - </w:t>
      </w:r>
      <w:r w:rsidR="00D2553F">
        <w:t xml:space="preserve">Līdz 2018.gada 28.martam VISC Interešu izglītības un audzināšanas darba nodaļas vecākajai referentei Dacei </w:t>
      </w:r>
      <w:proofErr w:type="spellStart"/>
      <w:r w:rsidR="00D2553F">
        <w:t>Jurkai</w:t>
      </w:r>
      <w:proofErr w:type="spellEnd"/>
      <w:r w:rsidR="00D2553F">
        <w:t xml:space="preserve"> uz e-pasta adresi </w:t>
      </w:r>
      <w:hyperlink r:id="rId6" w:history="1">
        <w:r w:rsidR="00D2553F">
          <w:rPr>
            <w:rStyle w:val="Hipersaite"/>
          </w:rPr>
          <w:t>dace.jurka@visc.gov.lv</w:t>
        </w:r>
      </w:hyperlink>
      <w:r w:rsidR="00D2553F">
        <w:t xml:space="preserve"> tiek nosūtīta pieteikuma anketa (pielikums)</w:t>
      </w:r>
      <w:r w:rsidR="00D2553F">
        <w:rPr>
          <w:color w:val="FF0000"/>
        </w:rPr>
        <w:t xml:space="preserve"> </w:t>
      </w:r>
      <w:r w:rsidR="00D2553F">
        <w:t>un video</w:t>
      </w:r>
      <w:r w:rsidR="00D2553F">
        <w:rPr>
          <w:color w:val="FF0000"/>
        </w:rPr>
        <w:t xml:space="preserve"> </w:t>
      </w:r>
      <w:r w:rsidR="00D2553F">
        <w:t>(mazo formu darbi līdz 30 min, lielās izrādes līdz 1h 30 min).</w:t>
      </w:r>
    </w:p>
    <w:p w:rsidR="00CA57B0" w:rsidRDefault="00CA57B0" w:rsidP="00CA57B0">
      <w:pPr>
        <w:ind w:firstLine="709"/>
      </w:pPr>
      <w:r>
        <w:t>2.kārtai konkursantus izvirza Kandavas novada Izglītības pārvalde.</w:t>
      </w:r>
    </w:p>
    <w:p w:rsidR="00CA57B0" w:rsidRDefault="00CA57B0">
      <w:pPr>
        <w:ind w:firstLine="709"/>
        <w:jc w:val="both"/>
      </w:pPr>
    </w:p>
    <w:p w:rsidR="00D2553F" w:rsidRDefault="00D2553F">
      <w:pPr>
        <w:jc w:val="both"/>
      </w:pPr>
    </w:p>
    <w:p w:rsidR="00D2553F" w:rsidRDefault="00D2553F">
      <w:pPr>
        <w:jc w:val="both"/>
        <w:rPr>
          <w:rFonts w:eastAsia="Times New Roman" w:cs="Times New Roman"/>
        </w:rPr>
      </w:pPr>
      <w:r>
        <w:rPr>
          <w:b/>
        </w:rPr>
        <w:t>VĒRTĒŠANA</w:t>
      </w:r>
    </w:p>
    <w:p w:rsidR="00CD1377" w:rsidRDefault="00CD1377" w:rsidP="00CD1377">
      <w:pPr>
        <w:ind w:firstLine="709"/>
        <w:jc w:val="both"/>
        <w:rPr>
          <w:rFonts w:eastAsia="Times New Roman" w:cs="Times New Roman"/>
        </w:rPr>
      </w:pPr>
      <w:r w:rsidRPr="00CA57B0">
        <w:rPr>
          <w:rFonts w:eastAsia="Times New Roman" w:cs="Times New Roman"/>
        </w:rPr>
        <w:t>1.posmā vērtē Kandavas novada Izglītības pārvaldes izveidota žūrija.</w:t>
      </w:r>
      <w:r w:rsidR="00D2553F">
        <w:rPr>
          <w:rFonts w:eastAsia="Times New Roman" w:cs="Times New Roman"/>
        </w:rPr>
        <w:t xml:space="preserve"> </w:t>
      </w:r>
      <w:r w:rsidR="00D2553F">
        <w:rPr>
          <w:rFonts w:eastAsia="Times New Roman" w:cs="Times New Roman"/>
        </w:rPr>
        <w:tab/>
      </w:r>
    </w:p>
    <w:p w:rsidR="00CA57B0" w:rsidRDefault="00CA57B0" w:rsidP="00CA57B0">
      <w:pPr>
        <w:ind w:firstLine="709"/>
      </w:pPr>
      <w:r>
        <w:t>2.kārtai konkursantus izvirza Kandavas novada Izglītības pārvalde.</w:t>
      </w:r>
    </w:p>
    <w:p w:rsidR="00CD1377" w:rsidRDefault="00CD1377" w:rsidP="00CD1377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posmā:</w:t>
      </w:r>
    </w:p>
    <w:p w:rsidR="00D2553F" w:rsidRDefault="00D2553F">
      <w:pPr>
        <w:jc w:val="both"/>
      </w:pPr>
      <w:r>
        <w:t>Teātra izrāžu sniegumu vērtē VISC izveidota žūrija 6 cilvēku sastāvā pēc šādiem kritērijiem:</w:t>
      </w:r>
    </w:p>
    <w:p w:rsidR="00D2553F" w:rsidRDefault="00D2553F">
      <w:pPr>
        <w:ind w:firstLine="709"/>
        <w:jc w:val="both"/>
      </w:pPr>
      <w:r>
        <w:t>- dramaturģiskā materiāla izvēle (materiāla kvalitāte, materiāla atbilstība skolēnu vecumposmam un aktieru sastāvam);</w:t>
      </w:r>
    </w:p>
    <w:p w:rsidR="00D2553F" w:rsidRDefault="00D2553F">
      <w:pPr>
        <w:ind w:firstLine="709"/>
        <w:jc w:val="both"/>
      </w:pPr>
      <w:r>
        <w:t>- režisora darbs (režisora ieceres mākslinieciskā realizācija, darbs ar aktieriem);</w:t>
      </w:r>
    </w:p>
    <w:p w:rsidR="00D2553F" w:rsidRDefault="00D2553F">
      <w:pPr>
        <w:ind w:firstLine="709"/>
        <w:jc w:val="both"/>
      </w:pPr>
      <w:r>
        <w:t>- aktieru darbs ( organiska darbošanās, skaidra dikcija, kontakts ar klausītāju un skatuves partneri);</w:t>
      </w:r>
    </w:p>
    <w:p w:rsidR="00D2553F" w:rsidRDefault="00D2553F">
      <w:pPr>
        <w:ind w:firstLine="709"/>
        <w:jc w:val="both"/>
      </w:pPr>
      <w:r>
        <w:t>- audiovizuālais noformējums (scenogrāfija, kostīmi, mūzika, komponentu atbilstība izvēlētā materiāla un iestudējuma stilistikai);</w:t>
      </w:r>
    </w:p>
    <w:p w:rsidR="00D2553F" w:rsidRDefault="00D2553F">
      <w:pPr>
        <w:ind w:firstLine="709"/>
        <w:jc w:val="both"/>
      </w:pPr>
      <w:r>
        <w:t>- izrādes koptēls.</w:t>
      </w:r>
    </w:p>
    <w:p w:rsidR="00D2553F" w:rsidRDefault="00D2553F">
      <w:pPr>
        <w:jc w:val="both"/>
      </w:pPr>
    </w:p>
    <w:p w:rsidR="00D2553F" w:rsidRDefault="00D2553F">
      <w:pPr>
        <w:jc w:val="both"/>
      </w:pPr>
      <w:r>
        <w:tab/>
        <w:t>Viens žūrijas loceklis katram iestudējumam maksimāli var piešķirt 30 punktus.</w:t>
      </w:r>
    </w:p>
    <w:p w:rsidR="00D2553F" w:rsidRDefault="00D2553F">
      <w:pPr>
        <w:jc w:val="both"/>
      </w:pPr>
      <w:r>
        <w:t>Katru kritēriju žūrija vērtē atsevišķi, piešķirot 0 – 10 punktus.</w:t>
      </w:r>
    </w:p>
    <w:p w:rsidR="00D2553F" w:rsidRDefault="00D2553F">
      <w:pPr>
        <w:jc w:val="both"/>
      </w:pPr>
      <w:r>
        <w:tab/>
      </w:r>
      <w:r>
        <w:tab/>
        <w:t>- izcili- 10;</w:t>
      </w:r>
      <w:r>
        <w:tab/>
      </w:r>
      <w:r>
        <w:tab/>
      </w:r>
      <w:r>
        <w:tab/>
        <w:t>- apmierinoši- 4;</w:t>
      </w:r>
    </w:p>
    <w:p w:rsidR="00D2553F" w:rsidRDefault="00D2553F">
      <w:pPr>
        <w:jc w:val="both"/>
      </w:pPr>
      <w:r>
        <w:tab/>
      </w:r>
      <w:r>
        <w:tab/>
        <w:t>- teicami- 9;</w:t>
      </w:r>
      <w:r>
        <w:tab/>
      </w:r>
      <w:r>
        <w:tab/>
      </w:r>
      <w:r>
        <w:tab/>
        <w:t>- vāji- 3;</w:t>
      </w:r>
    </w:p>
    <w:p w:rsidR="00D2553F" w:rsidRDefault="00D2553F">
      <w:pPr>
        <w:jc w:val="both"/>
      </w:pPr>
      <w:r>
        <w:tab/>
      </w:r>
      <w:r>
        <w:tab/>
        <w:t>- ļoti labi- 8;</w:t>
      </w:r>
      <w:r>
        <w:tab/>
      </w:r>
      <w:r>
        <w:tab/>
      </w:r>
      <w:r>
        <w:tab/>
        <w:t>- ļoti vāji – 2;</w:t>
      </w:r>
    </w:p>
    <w:p w:rsidR="00D2553F" w:rsidRDefault="00D2553F">
      <w:pPr>
        <w:jc w:val="both"/>
      </w:pPr>
      <w:r>
        <w:tab/>
      </w:r>
      <w:r>
        <w:tab/>
        <w:t>- labi- 7;</w:t>
      </w:r>
      <w:r>
        <w:tab/>
      </w:r>
      <w:r>
        <w:tab/>
      </w:r>
      <w:r>
        <w:tab/>
        <w:t>- ļoti, ļoti vāji -1;</w:t>
      </w:r>
    </w:p>
    <w:p w:rsidR="00D2553F" w:rsidRDefault="00D2553F">
      <w:pPr>
        <w:jc w:val="both"/>
      </w:pPr>
      <w:r>
        <w:tab/>
      </w:r>
      <w:r>
        <w:tab/>
        <w:t>- gandrīz labi-6;</w:t>
      </w:r>
      <w:r>
        <w:tab/>
      </w:r>
      <w:r>
        <w:tab/>
        <w:t>- neatbilst kritērijiem-0</w:t>
      </w:r>
    </w:p>
    <w:p w:rsidR="00D2553F" w:rsidRDefault="00D2553F">
      <w:pPr>
        <w:jc w:val="both"/>
      </w:pPr>
      <w:r>
        <w:tab/>
      </w:r>
      <w:r>
        <w:tab/>
        <w:t>- viduvēji- 5;</w:t>
      </w:r>
    </w:p>
    <w:p w:rsidR="00D2553F" w:rsidRDefault="00D2553F">
      <w:pPr>
        <w:ind w:firstLine="709"/>
        <w:jc w:val="both"/>
      </w:pPr>
      <w:r>
        <w:t>Vērtējums tiek iegūts, saskaitot visu žūrijas locekļu piešķirtos punktus un to kopējo summu dalot ar žūrijas locekļu skaitu.</w:t>
      </w:r>
    </w:p>
    <w:p w:rsidR="00D2553F" w:rsidRDefault="00D2553F">
      <w:pPr>
        <w:jc w:val="both"/>
      </w:pPr>
    </w:p>
    <w:p w:rsidR="00D2553F" w:rsidRDefault="00D2553F">
      <w:pPr>
        <w:jc w:val="both"/>
      </w:pPr>
      <w:r>
        <w:rPr>
          <w:b/>
        </w:rPr>
        <w:t>FINANSĒŠANA</w:t>
      </w:r>
    </w:p>
    <w:p w:rsidR="00D2553F" w:rsidRPr="00C33CA7" w:rsidRDefault="00D2553F">
      <w:pPr>
        <w:jc w:val="both"/>
      </w:pPr>
      <w:r>
        <w:tab/>
        <w:t xml:space="preserve">No valsts budžeta 42.03 apakšprogrammas “Skolu jaunatnes dziesmu un deju svētki” daļēji </w:t>
      </w:r>
      <w:r w:rsidRPr="00F96ACA">
        <w:t xml:space="preserve">finansē māksliniecisko un </w:t>
      </w:r>
      <w:r w:rsidRPr="00C33CA7">
        <w:t>tehnisko nodrošinājumu un balvu iegādi.</w:t>
      </w:r>
    </w:p>
    <w:p w:rsidR="00C33CA7" w:rsidRDefault="00D2553F">
      <w:pPr>
        <w:ind w:firstLine="720"/>
        <w:jc w:val="both"/>
      </w:pPr>
      <w:r w:rsidRPr="00C33CA7">
        <w:t xml:space="preserve">Dalībnieku piedalīšanos izrāžu parādē finansē pašvaldība vai iestāde, kuru dalībnieki pārstāv. </w:t>
      </w:r>
      <w:r w:rsidR="00CE7461" w:rsidRPr="00C33CA7">
        <w:t>Dalībnieku transporta izdevumus un ēdināšanu finansē pašvaldības, pašvaldību izglītības pārvaldes.</w:t>
      </w:r>
      <w:r w:rsidR="00C33CA7">
        <w:t xml:space="preserve"> Pasākuma organizatori var noteikt kolektīviem dalības maksu līdz 20 EUR.</w:t>
      </w:r>
    </w:p>
    <w:p w:rsidR="00D2553F" w:rsidRDefault="00CE7461" w:rsidP="00C33CA7">
      <w:pPr>
        <w:ind w:firstLine="720"/>
        <w:jc w:val="both"/>
      </w:pPr>
      <w:r w:rsidRPr="00C33CA7">
        <w:t xml:space="preserve"> </w:t>
      </w:r>
    </w:p>
    <w:p w:rsidR="00CD1377" w:rsidRDefault="00CD1377" w:rsidP="00CD1377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CD1377" w:rsidRDefault="00CD1377" w:rsidP="00CD1377">
      <w:pPr>
        <w:jc w:val="right"/>
        <w:outlineLvl w:val="0"/>
      </w:pPr>
      <w:r>
        <w:rPr>
          <w:sz w:val="22"/>
          <w:szCs w:val="22"/>
        </w:rPr>
        <w:sym w:font="Wingdings" w:char="F02A"/>
      </w:r>
      <w:hyperlink r:id="rId7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D2553F" w:rsidRPr="003D1FA5" w:rsidRDefault="00D2553F" w:rsidP="006F7C2C">
      <w:pPr>
        <w:jc w:val="both"/>
        <w:rPr>
          <w:rFonts w:cs="Times New Roman"/>
        </w:rPr>
      </w:pPr>
    </w:p>
    <w:p w:rsidR="00D2553F" w:rsidRPr="006F7C2C" w:rsidRDefault="00D2553F" w:rsidP="006F7C2C">
      <w:pPr>
        <w:jc w:val="both"/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>
      <w:pPr>
        <w:rPr>
          <w:color w:val="FF0000"/>
        </w:rPr>
      </w:pPr>
    </w:p>
    <w:p w:rsidR="00D2553F" w:rsidRDefault="00D2553F" w:rsidP="00DD796E">
      <w:pPr>
        <w:jc w:val="center"/>
        <w:rPr>
          <w:sz w:val="28"/>
          <w:szCs w:val="28"/>
        </w:rPr>
      </w:pPr>
      <w:r>
        <w:rPr>
          <w:sz w:val="32"/>
        </w:rPr>
        <w:lastRenderedPageBreak/>
        <w:t>Pieteikuma anketa</w:t>
      </w:r>
    </w:p>
    <w:p w:rsidR="00D2553F" w:rsidRDefault="00D25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Izglītības un kultūras iestāžu skolēnu teātru izrāžu parāde –</w:t>
      </w:r>
    </w:p>
    <w:p w:rsidR="00D2553F" w:rsidRDefault="00D25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 Starptautiskais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bērnu un jauniešu teātru festivāls “...un es iešu un iešu!” </w:t>
      </w:r>
    </w:p>
    <w:p w:rsidR="00D2553F" w:rsidRDefault="00D2553F" w:rsidP="008B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valsts 100gadei</w:t>
      </w:r>
    </w:p>
    <w:p w:rsidR="00CA57B0" w:rsidRDefault="00CA57B0" w:rsidP="008B3B96">
      <w:pPr>
        <w:jc w:val="center"/>
        <w:rPr>
          <w:sz w:val="28"/>
          <w:szCs w:val="28"/>
        </w:rPr>
      </w:pPr>
    </w:p>
    <w:p w:rsidR="00CA57B0" w:rsidRPr="00CA57B0" w:rsidRDefault="00CA57B0" w:rsidP="00CA57B0">
      <w:pPr>
        <w:ind w:firstLine="709"/>
        <w:rPr>
          <w:b/>
        </w:rPr>
      </w:pPr>
      <w:r w:rsidRPr="00CA57B0">
        <w:rPr>
          <w:b/>
        </w:rPr>
        <w:t>Pieteikšanās 1.kārtai līdz š.g. 28.februārim sūtot elektronisku pieteikuma anketu uz e-pasta adresi jcnagla@inbox.lv</w:t>
      </w:r>
    </w:p>
    <w:p w:rsidR="00D2553F" w:rsidRDefault="00D255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DD796E" w:rsidRPr="00DD796E" w:rsidTr="00B724F3">
        <w:trPr>
          <w:trHeight w:val="469"/>
        </w:trPr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Kolektīva nosaukums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Izglītības vai kultūras iestādes adrese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8B3B96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 xml:space="preserve">Tālrunis, </w:t>
            </w:r>
            <w:r w:rsidR="00DD796E"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e-pasts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  <w:bookmarkStart w:id="1" w:name="_GoBack"/>
            <w:bookmarkEnd w:id="1"/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Festivāla dalībnieku skaits, t.sk. režisors un pavadošās personas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Izrādes nosaukums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8B3B96">
        <w:trPr>
          <w:trHeight w:val="651"/>
        </w:trPr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Īss izrādes apraksts+ foto (bukletam)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 xml:space="preserve"> ne vairāk kā 80 vārdi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Lugas autors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Izrādes režisors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Izrādes scenogrāfs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Izrādes mūzikas autors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Izrādes garums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Darbojošos personu skaits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Nepieciešamais uzbūves laiks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Vēlamais apgaismojums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rPr>
          <w:trHeight w:val="749"/>
        </w:trPr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Vēlamā apskaņošanas tehnika, mikrofoni u.tt.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Vēlamā izrādes spēles vieta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Vēlamais spēles laukuma lielums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rPr>
          <w:trHeight w:val="530"/>
        </w:trPr>
        <w:tc>
          <w:tcPr>
            <w:tcW w:w="4068" w:type="dxa"/>
            <w:shd w:val="clear" w:color="auto" w:fill="auto"/>
          </w:tcPr>
          <w:p w:rsidR="00DD796E" w:rsidRPr="00DD796E" w:rsidRDefault="00CD1377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Rekvizīti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rPr>
          <w:trHeight w:val="530"/>
        </w:trPr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Kontaktpersona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D796E" w:rsidRPr="00DD796E" w:rsidTr="00B724F3">
        <w:tc>
          <w:tcPr>
            <w:tcW w:w="4068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</w:pPr>
            <w:r w:rsidRPr="00DD796E">
              <w:rPr>
                <w:rFonts w:eastAsia="Times New Roman" w:cs="Times New Roman"/>
                <w:kern w:val="0"/>
                <w:sz w:val="28"/>
                <w:szCs w:val="28"/>
                <w:lang w:eastAsia="lv-LV" w:bidi="ar-SA"/>
              </w:rPr>
              <w:t>Datums</w:t>
            </w:r>
          </w:p>
        </w:tc>
        <w:tc>
          <w:tcPr>
            <w:tcW w:w="5220" w:type="dxa"/>
            <w:shd w:val="clear" w:color="auto" w:fill="auto"/>
          </w:tcPr>
          <w:p w:rsidR="00DD796E" w:rsidRPr="00DD796E" w:rsidRDefault="00DD796E" w:rsidP="00DD79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:rsidR="0004442C" w:rsidRDefault="0004442C">
      <w:pPr>
        <w:rPr>
          <w:color w:val="FF0000"/>
        </w:rPr>
      </w:pPr>
    </w:p>
    <w:sectPr w:rsidR="0004442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CA"/>
    <w:rsid w:val="0004442C"/>
    <w:rsid w:val="00236D18"/>
    <w:rsid w:val="002674BA"/>
    <w:rsid w:val="00292930"/>
    <w:rsid w:val="002A0847"/>
    <w:rsid w:val="003D1FA5"/>
    <w:rsid w:val="00401AE2"/>
    <w:rsid w:val="004F1950"/>
    <w:rsid w:val="00660532"/>
    <w:rsid w:val="006B213E"/>
    <w:rsid w:val="006F7C2C"/>
    <w:rsid w:val="008B3B96"/>
    <w:rsid w:val="00B724F3"/>
    <w:rsid w:val="00C004C3"/>
    <w:rsid w:val="00C07BC1"/>
    <w:rsid w:val="00C33CA7"/>
    <w:rsid w:val="00CA57B0"/>
    <w:rsid w:val="00CD1377"/>
    <w:rsid w:val="00CE7461"/>
    <w:rsid w:val="00D2553F"/>
    <w:rsid w:val="00D26E14"/>
    <w:rsid w:val="00DD796E"/>
    <w:rsid w:val="00DE0203"/>
    <w:rsid w:val="00DF76DF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80"/>
      <w:u w:val="single"/>
    </w:rPr>
  </w:style>
  <w:style w:type="paragraph" w:customStyle="1" w:styleId="Virsraksts">
    <w:name w:val="Virsraksts"/>
    <w:basedOn w:val="Parast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pPr>
      <w:suppressLineNumbers/>
    </w:pPr>
  </w:style>
  <w:style w:type="paragraph" w:customStyle="1" w:styleId="WW-Caption">
    <w:name w:val="WW-Caption"/>
    <w:basedOn w:val="Parasts"/>
    <w:pPr>
      <w:suppressLineNumbers/>
      <w:spacing w:before="120" w:after="120"/>
    </w:pPr>
    <w:rPr>
      <w:i/>
      <w:iCs/>
    </w:rPr>
  </w:style>
  <w:style w:type="paragraph" w:customStyle="1" w:styleId="Saturardtjs">
    <w:name w:val="Satura rādītājs"/>
    <w:basedOn w:val="Parast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character" w:styleId="Izclums">
    <w:name w:val="Emphasis"/>
    <w:uiPriority w:val="20"/>
    <w:qFormat/>
    <w:rsid w:val="003D1FA5"/>
    <w:rPr>
      <w:b/>
      <w:bCs/>
      <w:i w:val="0"/>
      <w:iCs w:val="0"/>
    </w:rPr>
  </w:style>
  <w:style w:type="character" w:customStyle="1" w:styleId="st1">
    <w:name w:val="st1"/>
    <w:rsid w:val="003D1FA5"/>
  </w:style>
  <w:style w:type="character" w:customStyle="1" w:styleId="UnresolvedMention">
    <w:name w:val="Unresolved Mention"/>
    <w:uiPriority w:val="99"/>
    <w:semiHidden/>
    <w:unhideWhenUsed/>
    <w:rsid w:val="003D1FA5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377"/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37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80"/>
      <w:u w:val="single"/>
    </w:rPr>
  </w:style>
  <w:style w:type="paragraph" w:customStyle="1" w:styleId="Virsraksts">
    <w:name w:val="Virsraksts"/>
    <w:basedOn w:val="Parast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pPr>
      <w:suppressLineNumbers/>
    </w:pPr>
  </w:style>
  <w:style w:type="paragraph" w:customStyle="1" w:styleId="WW-Caption">
    <w:name w:val="WW-Caption"/>
    <w:basedOn w:val="Parasts"/>
    <w:pPr>
      <w:suppressLineNumbers/>
      <w:spacing w:before="120" w:after="120"/>
    </w:pPr>
    <w:rPr>
      <w:i/>
      <w:iCs/>
    </w:rPr>
  </w:style>
  <w:style w:type="paragraph" w:customStyle="1" w:styleId="Saturardtjs">
    <w:name w:val="Satura rādītājs"/>
    <w:basedOn w:val="Parast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character" w:styleId="Izclums">
    <w:name w:val="Emphasis"/>
    <w:uiPriority w:val="20"/>
    <w:qFormat/>
    <w:rsid w:val="003D1FA5"/>
    <w:rPr>
      <w:b/>
      <w:bCs/>
      <w:i w:val="0"/>
      <w:iCs w:val="0"/>
    </w:rPr>
  </w:style>
  <w:style w:type="character" w:customStyle="1" w:styleId="st1">
    <w:name w:val="st1"/>
    <w:rsid w:val="003D1FA5"/>
  </w:style>
  <w:style w:type="character" w:customStyle="1" w:styleId="UnresolvedMention">
    <w:name w:val="Unresolved Mention"/>
    <w:uiPriority w:val="99"/>
    <w:semiHidden/>
    <w:unhideWhenUsed/>
    <w:rsid w:val="003D1FA5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377"/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37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nagla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ce.jurka@visc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3131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Links>
    <vt:vector size="30" baseType="variant">
      <vt:variant>
        <vt:i4>6422621</vt:i4>
      </vt:variant>
      <vt:variant>
        <vt:i4>12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  <vt:variant>
        <vt:i4>3932161</vt:i4>
      </vt:variant>
      <vt:variant>
        <vt:i4>9</vt:i4>
      </vt:variant>
      <vt:variant>
        <vt:i4>0</vt:i4>
      </vt:variant>
      <vt:variant>
        <vt:i4>5</vt:i4>
      </vt:variant>
      <vt:variant>
        <vt:lpwstr>mailto:sanita.loze@valmiera.edu.lv</vt:lpwstr>
      </vt:variant>
      <vt:variant>
        <vt:lpwstr/>
      </vt:variant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mailto:vvvspriditis@inbox.lv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mailto:dace.jurka@visc.gov.lv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Aukšmuksta</dc:creator>
  <cp:lastModifiedBy>Kandavas IP</cp:lastModifiedBy>
  <cp:revision>4</cp:revision>
  <cp:lastPrinted>2017-11-29T10:15:00Z</cp:lastPrinted>
  <dcterms:created xsi:type="dcterms:W3CDTF">2018-01-15T12:37:00Z</dcterms:created>
  <dcterms:modified xsi:type="dcterms:W3CDTF">2018-01-16T11:48:00Z</dcterms:modified>
</cp:coreProperties>
</file>