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A50D0F" w:rsidRDefault="00B94A0B" w:rsidP="000A09A7">
      <w:pPr>
        <w:rPr>
          <w:sz w:val="24"/>
          <w:szCs w:val="24"/>
        </w:rPr>
      </w:pPr>
      <w:r w:rsidRPr="00B94A0B">
        <w:rPr>
          <w:sz w:val="24"/>
          <w:szCs w:val="24"/>
        </w:rPr>
        <w:t>201</w:t>
      </w:r>
      <w:r w:rsidR="007B78DE">
        <w:rPr>
          <w:sz w:val="24"/>
          <w:szCs w:val="24"/>
        </w:rPr>
        <w:t>6</w:t>
      </w:r>
      <w:r w:rsidRPr="00B94A0B">
        <w:rPr>
          <w:sz w:val="24"/>
          <w:szCs w:val="24"/>
        </w:rPr>
        <w:t xml:space="preserve">.gada </w:t>
      </w:r>
      <w:r w:rsidR="00CA6033">
        <w:rPr>
          <w:sz w:val="24"/>
          <w:szCs w:val="24"/>
        </w:rPr>
        <w:t>2</w:t>
      </w:r>
      <w:r w:rsidR="00437B7A">
        <w:rPr>
          <w:sz w:val="24"/>
          <w:szCs w:val="24"/>
        </w:rPr>
        <w:t>7</w:t>
      </w:r>
      <w:r w:rsidR="007B78DE">
        <w:rPr>
          <w:sz w:val="24"/>
          <w:szCs w:val="24"/>
        </w:rPr>
        <w:t xml:space="preserve">.jūnijā </w:t>
      </w:r>
      <w:r w:rsidRPr="00B94A0B">
        <w:rPr>
          <w:sz w:val="24"/>
          <w:szCs w:val="24"/>
        </w:rPr>
        <w:t>Nr.</w:t>
      </w:r>
      <w:r w:rsidR="004C7EF8">
        <w:rPr>
          <w:sz w:val="24"/>
          <w:szCs w:val="24"/>
        </w:rPr>
        <w:t>4 – 57/223</w:t>
      </w:r>
      <w:r w:rsidR="00CB0653" w:rsidRPr="00CB0653">
        <w:rPr>
          <w:sz w:val="24"/>
          <w:szCs w:val="24"/>
        </w:rPr>
        <w:t xml:space="preserve"> </w:t>
      </w:r>
      <w:r w:rsidR="00033589">
        <w:rPr>
          <w:sz w:val="24"/>
          <w:szCs w:val="24"/>
        </w:rPr>
        <w:tab/>
      </w:r>
      <w:r w:rsidR="00033589">
        <w:rPr>
          <w:sz w:val="24"/>
          <w:szCs w:val="24"/>
        </w:rPr>
        <w:tab/>
      </w:r>
      <w:r w:rsidR="00033589">
        <w:rPr>
          <w:sz w:val="24"/>
          <w:szCs w:val="24"/>
        </w:rPr>
        <w:tab/>
      </w:r>
      <w:r w:rsidR="007B78DE">
        <w:rPr>
          <w:sz w:val="24"/>
          <w:szCs w:val="24"/>
        </w:rPr>
        <w:tab/>
      </w:r>
    </w:p>
    <w:p w:rsidR="000A09A7" w:rsidRDefault="000A09A7" w:rsidP="000A09A7">
      <w:pPr>
        <w:rPr>
          <w:sz w:val="24"/>
          <w:szCs w:val="24"/>
        </w:rPr>
      </w:pPr>
    </w:p>
    <w:p w:rsidR="000A09A7" w:rsidRPr="00324F65" w:rsidRDefault="000A09A7" w:rsidP="000A09A7">
      <w:pPr>
        <w:rPr>
          <w:sz w:val="24"/>
          <w:szCs w:val="24"/>
        </w:rPr>
      </w:pPr>
      <w:bookmarkStart w:id="0" w:name="_GoBack"/>
      <w:bookmarkEnd w:id="0"/>
    </w:p>
    <w:p w:rsidR="004C7EF8" w:rsidRPr="004C7EF8" w:rsidRDefault="004C7EF8" w:rsidP="004C7EF8">
      <w:pPr>
        <w:rPr>
          <w:sz w:val="24"/>
          <w:szCs w:val="24"/>
        </w:rPr>
      </w:pPr>
      <w:r w:rsidRPr="004C7EF8">
        <w:rPr>
          <w:sz w:val="24"/>
          <w:szCs w:val="24"/>
        </w:rPr>
        <w:t xml:space="preserve">Par iepirkuma procedūru „Kandavas </w:t>
      </w:r>
    </w:p>
    <w:p w:rsidR="004C7EF8" w:rsidRPr="004C7EF8" w:rsidRDefault="004C7EF8" w:rsidP="004C7EF8">
      <w:pPr>
        <w:rPr>
          <w:sz w:val="24"/>
          <w:szCs w:val="24"/>
        </w:rPr>
      </w:pPr>
      <w:r w:rsidRPr="004C7EF8">
        <w:rPr>
          <w:sz w:val="24"/>
          <w:szCs w:val="24"/>
        </w:rPr>
        <w:t xml:space="preserve">pilsētas siltumtrašu pārbūve un izbūve” </w:t>
      </w:r>
    </w:p>
    <w:p w:rsidR="004C7EF8" w:rsidRPr="004C7EF8" w:rsidRDefault="004C7EF8" w:rsidP="004C7EF8">
      <w:pPr>
        <w:rPr>
          <w:sz w:val="24"/>
          <w:szCs w:val="24"/>
        </w:rPr>
      </w:pPr>
    </w:p>
    <w:p w:rsidR="004C7EF8" w:rsidRPr="004C7EF8" w:rsidRDefault="004C7EF8" w:rsidP="004C7EF8">
      <w:pPr>
        <w:jc w:val="both"/>
        <w:rPr>
          <w:sz w:val="24"/>
          <w:szCs w:val="24"/>
        </w:rPr>
      </w:pPr>
      <w:r w:rsidRPr="004C7EF8">
        <w:rPr>
          <w:sz w:val="24"/>
          <w:szCs w:val="24"/>
        </w:rPr>
        <w:tab/>
        <w:t>SIA „Kandavas komunālie pakalpojumi” Iepirkumu komisija 2016.gada22.jūnijā ir saņēmusi jautājumu par iepirkuma procedūras dokumentāciju:</w:t>
      </w:r>
    </w:p>
    <w:p w:rsidR="004C7EF8" w:rsidRPr="004C7EF8" w:rsidRDefault="004C7EF8" w:rsidP="004C7EF8">
      <w:pPr>
        <w:widowControl w:val="0"/>
        <w:tabs>
          <w:tab w:val="center" w:pos="709"/>
          <w:tab w:val="right" w:pos="8640"/>
        </w:tabs>
        <w:overflowPunct w:val="0"/>
        <w:autoSpaceDE w:val="0"/>
        <w:autoSpaceDN w:val="0"/>
        <w:adjustRightInd w:val="0"/>
        <w:jc w:val="both"/>
        <w:rPr>
          <w:i/>
          <w:iCs/>
          <w:kern w:val="28"/>
          <w:sz w:val="24"/>
          <w:szCs w:val="24"/>
          <w:lang w:eastAsia="lv-LV"/>
        </w:rPr>
      </w:pPr>
      <w:r w:rsidRPr="004C7EF8">
        <w:rPr>
          <w:i/>
          <w:iCs/>
          <w:kern w:val="28"/>
          <w:sz w:val="24"/>
          <w:szCs w:val="24"/>
          <w:lang w:eastAsia="lv-LV"/>
        </w:rPr>
        <w:tab/>
      </w:r>
      <w:r w:rsidRPr="004C7EF8">
        <w:rPr>
          <w:i/>
          <w:iCs/>
          <w:kern w:val="28"/>
          <w:sz w:val="24"/>
          <w:szCs w:val="24"/>
          <w:lang w:eastAsia="lv-LV"/>
        </w:rPr>
        <w:tab/>
        <w:t>1. Par izbūves darbu kārtām. Atbilstoši Būvprojekta Darbu organizācijas projektā (DOP) sadaļā IS DA SAT norādītajai informācija Konkursa priekšmetā ietilpstošo darbu apjomi ir sadalīti3 kārtās.  Turpretī DOP 1.sējuma SAT ĢI paskaidrojuma rakstos ir minēts, ka viss būvprojekts tiek sadalīts 4 kārtās.</w:t>
      </w:r>
    </w:p>
    <w:p w:rsidR="004C7EF8" w:rsidRPr="004C7EF8" w:rsidRDefault="004C7EF8" w:rsidP="004C7EF8">
      <w:pPr>
        <w:widowControl w:val="0"/>
        <w:tabs>
          <w:tab w:val="center" w:pos="709"/>
          <w:tab w:val="right" w:pos="8640"/>
        </w:tabs>
        <w:overflowPunct w:val="0"/>
        <w:autoSpaceDE w:val="0"/>
        <w:autoSpaceDN w:val="0"/>
        <w:adjustRightInd w:val="0"/>
        <w:jc w:val="both"/>
        <w:rPr>
          <w:b/>
          <w:bCs/>
          <w:kern w:val="28"/>
          <w:sz w:val="24"/>
          <w:szCs w:val="24"/>
          <w:lang w:eastAsia="lv-LV"/>
        </w:rPr>
      </w:pPr>
      <w:r w:rsidRPr="004C7EF8">
        <w:rPr>
          <w:i/>
          <w:iCs/>
          <w:kern w:val="28"/>
          <w:sz w:val="24"/>
          <w:szCs w:val="24"/>
          <w:lang w:eastAsia="lv-LV"/>
        </w:rPr>
        <w:tab/>
      </w:r>
      <w:r w:rsidRPr="004C7EF8">
        <w:rPr>
          <w:i/>
          <w:iCs/>
          <w:kern w:val="28"/>
          <w:sz w:val="24"/>
          <w:szCs w:val="24"/>
          <w:lang w:eastAsia="lv-LV"/>
        </w:rPr>
        <w:tab/>
        <w:t>Ieinteresētais piegādātājs lūdz Pasūtītāju precizēt, cik kārtās ir paredzēts izbūvēt Konkursa priekšmetā ietilpstošos darbus?</w:t>
      </w:r>
      <w:r w:rsidRPr="004C7EF8">
        <w:rPr>
          <w:i/>
          <w:iCs/>
          <w:kern w:val="28"/>
          <w:sz w:val="24"/>
          <w:szCs w:val="24"/>
          <w:lang w:eastAsia="lv-LV"/>
        </w:rPr>
        <w:tab/>
      </w:r>
    </w:p>
    <w:p w:rsidR="004C7EF8" w:rsidRPr="004C7EF8" w:rsidRDefault="004C7EF8" w:rsidP="004C7EF8">
      <w:pPr>
        <w:widowControl w:val="0"/>
        <w:tabs>
          <w:tab w:val="center" w:pos="709"/>
          <w:tab w:val="right" w:pos="8640"/>
        </w:tabs>
        <w:overflowPunct w:val="0"/>
        <w:autoSpaceDE w:val="0"/>
        <w:autoSpaceDN w:val="0"/>
        <w:adjustRightInd w:val="0"/>
        <w:jc w:val="both"/>
        <w:rPr>
          <w:b/>
          <w:bCs/>
          <w:kern w:val="28"/>
          <w:sz w:val="24"/>
          <w:szCs w:val="24"/>
          <w:lang w:eastAsia="lv-LV"/>
        </w:rPr>
      </w:pPr>
      <w:r w:rsidRPr="004C7EF8">
        <w:rPr>
          <w:b/>
          <w:bCs/>
          <w:kern w:val="28"/>
          <w:sz w:val="24"/>
          <w:szCs w:val="24"/>
          <w:lang w:eastAsia="lv-LV"/>
        </w:rPr>
        <w:t xml:space="preserve">Atbilde: </w:t>
      </w:r>
    </w:p>
    <w:p w:rsidR="004C7EF8" w:rsidRPr="004C7EF8" w:rsidRDefault="004C7EF8" w:rsidP="004C7EF8">
      <w:pPr>
        <w:tabs>
          <w:tab w:val="left" w:pos="851"/>
        </w:tabs>
        <w:jc w:val="both"/>
        <w:rPr>
          <w:sz w:val="24"/>
          <w:szCs w:val="24"/>
        </w:rPr>
      </w:pPr>
      <w:r w:rsidRPr="004C7EF8">
        <w:rPr>
          <w:sz w:val="24"/>
          <w:szCs w:val="24"/>
        </w:rPr>
        <w:tab/>
        <w:t xml:space="preserve">Būvprojekts „Kandavas pilsētas siltumtrašu pārbūve un izbūve” sastāv no IV kārtām, bet būvprojekta IV kārtas būvdarbi netiek iepirkti. </w:t>
      </w:r>
    </w:p>
    <w:p w:rsidR="004C7EF8" w:rsidRPr="004C7EF8" w:rsidRDefault="004C7EF8" w:rsidP="004C7EF8">
      <w:pPr>
        <w:tabs>
          <w:tab w:val="left" w:pos="851"/>
        </w:tabs>
        <w:jc w:val="both"/>
        <w:rPr>
          <w:sz w:val="24"/>
          <w:szCs w:val="24"/>
        </w:rPr>
      </w:pPr>
    </w:p>
    <w:p w:rsidR="004C7EF8" w:rsidRPr="004C7EF8" w:rsidRDefault="004C7EF8" w:rsidP="004C7EF8">
      <w:pPr>
        <w:widowControl w:val="0"/>
        <w:tabs>
          <w:tab w:val="center" w:pos="709"/>
          <w:tab w:val="right" w:pos="8640"/>
        </w:tabs>
        <w:overflowPunct w:val="0"/>
        <w:autoSpaceDE w:val="0"/>
        <w:autoSpaceDN w:val="0"/>
        <w:adjustRightInd w:val="0"/>
        <w:jc w:val="both"/>
        <w:rPr>
          <w:i/>
          <w:iCs/>
          <w:kern w:val="28"/>
          <w:sz w:val="24"/>
          <w:szCs w:val="24"/>
          <w:lang w:eastAsia="lv-LV"/>
        </w:rPr>
      </w:pPr>
      <w:r w:rsidRPr="004C7EF8">
        <w:rPr>
          <w:i/>
          <w:iCs/>
          <w:kern w:val="28"/>
          <w:sz w:val="24"/>
          <w:szCs w:val="24"/>
          <w:lang w:eastAsia="lv-LV"/>
        </w:rPr>
        <w:tab/>
      </w:r>
      <w:r w:rsidRPr="004C7EF8">
        <w:rPr>
          <w:i/>
          <w:iCs/>
          <w:kern w:val="28"/>
          <w:sz w:val="24"/>
          <w:szCs w:val="24"/>
          <w:lang w:eastAsia="lv-LV"/>
        </w:rPr>
        <w:tab/>
        <w:t xml:space="preserve">2. Par projekta apskati. Konkursa nolikuma 6.pielikuma “Finanšu piedāvājums” ietverts apliecinājums, no kura secināms, ka pretendentiem pirms piedāvājuma iesniegšanas ir jāiepazīstas ar būvlaukumu. </w:t>
      </w:r>
    </w:p>
    <w:p w:rsidR="004C7EF8" w:rsidRPr="004C7EF8" w:rsidRDefault="004C7EF8" w:rsidP="004C7EF8">
      <w:pPr>
        <w:widowControl w:val="0"/>
        <w:tabs>
          <w:tab w:val="center" w:pos="709"/>
          <w:tab w:val="right" w:pos="8640"/>
        </w:tabs>
        <w:overflowPunct w:val="0"/>
        <w:autoSpaceDE w:val="0"/>
        <w:autoSpaceDN w:val="0"/>
        <w:adjustRightInd w:val="0"/>
        <w:jc w:val="both"/>
        <w:rPr>
          <w:i/>
          <w:iCs/>
          <w:kern w:val="28"/>
          <w:sz w:val="24"/>
          <w:szCs w:val="24"/>
          <w:lang w:eastAsia="lv-LV"/>
        </w:rPr>
      </w:pPr>
      <w:r w:rsidRPr="004C7EF8">
        <w:rPr>
          <w:i/>
          <w:iCs/>
          <w:kern w:val="28"/>
          <w:sz w:val="24"/>
          <w:szCs w:val="24"/>
          <w:lang w:eastAsia="lv-LV"/>
        </w:rPr>
        <w:tab/>
      </w:r>
      <w:r w:rsidRPr="004C7EF8">
        <w:rPr>
          <w:i/>
          <w:iCs/>
          <w:kern w:val="28"/>
          <w:sz w:val="24"/>
          <w:szCs w:val="24"/>
          <w:lang w:eastAsia="lv-LV"/>
        </w:rPr>
        <w:tab/>
        <w:t>Ieinteresētais piegādātājs lūdz Pasūtītāju sniegt informāciju par to, vai būvlaukuma apsekošanas process iepriekš ir jāsaskaņo ar Pasūtītāju?</w:t>
      </w:r>
    </w:p>
    <w:p w:rsidR="004C7EF8" w:rsidRPr="004C7EF8" w:rsidRDefault="004C7EF8" w:rsidP="004C7EF8">
      <w:pPr>
        <w:widowControl w:val="0"/>
        <w:tabs>
          <w:tab w:val="center" w:pos="709"/>
          <w:tab w:val="right" w:pos="8640"/>
        </w:tabs>
        <w:overflowPunct w:val="0"/>
        <w:autoSpaceDE w:val="0"/>
        <w:autoSpaceDN w:val="0"/>
        <w:adjustRightInd w:val="0"/>
        <w:jc w:val="both"/>
        <w:rPr>
          <w:b/>
          <w:bCs/>
          <w:kern w:val="28"/>
          <w:sz w:val="24"/>
          <w:szCs w:val="24"/>
          <w:lang w:eastAsia="lv-LV"/>
        </w:rPr>
      </w:pPr>
      <w:r w:rsidRPr="004C7EF8">
        <w:rPr>
          <w:i/>
          <w:iCs/>
          <w:kern w:val="28"/>
          <w:sz w:val="24"/>
          <w:szCs w:val="24"/>
          <w:lang w:eastAsia="lv-LV"/>
        </w:rPr>
        <w:tab/>
      </w:r>
    </w:p>
    <w:p w:rsidR="004C7EF8" w:rsidRPr="004C7EF8" w:rsidRDefault="004C7EF8" w:rsidP="004C7EF8">
      <w:pPr>
        <w:widowControl w:val="0"/>
        <w:tabs>
          <w:tab w:val="center" w:pos="709"/>
          <w:tab w:val="right" w:pos="8640"/>
        </w:tabs>
        <w:overflowPunct w:val="0"/>
        <w:autoSpaceDE w:val="0"/>
        <w:autoSpaceDN w:val="0"/>
        <w:adjustRightInd w:val="0"/>
        <w:jc w:val="both"/>
        <w:rPr>
          <w:b/>
          <w:bCs/>
          <w:kern w:val="28"/>
          <w:sz w:val="24"/>
          <w:szCs w:val="24"/>
          <w:lang w:eastAsia="lv-LV"/>
        </w:rPr>
      </w:pPr>
      <w:r w:rsidRPr="004C7EF8">
        <w:rPr>
          <w:b/>
          <w:bCs/>
          <w:kern w:val="28"/>
          <w:sz w:val="24"/>
          <w:szCs w:val="24"/>
          <w:lang w:eastAsia="lv-LV"/>
        </w:rPr>
        <w:t xml:space="preserve">Atbilde: </w:t>
      </w:r>
    </w:p>
    <w:p w:rsidR="004C7EF8" w:rsidRPr="004C7EF8" w:rsidRDefault="004C7EF8" w:rsidP="004C7EF8">
      <w:pPr>
        <w:tabs>
          <w:tab w:val="left" w:pos="851"/>
        </w:tabs>
        <w:jc w:val="both"/>
        <w:rPr>
          <w:sz w:val="24"/>
          <w:szCs w:val="24"/>
        </w:rPr>
      </w:pPr>
      <w:r w:rsidRPr="004C7EF8">
        <w:rPr>
          <w:sz w:val="24"/>
          <w:szCs w:val="24"/>
        </w:rPr>
        <w:tab/>
        <w:t>Būvlaukuma apsekošanas procesa saskaņošana ar Pasūtītāju nav obligāta prasība. Būvlaukuma specifika pieļauj, ka Pretendents pats var apsekot būvlaukumu. Taču, ja Pretendents vēlas, tas var saskaņot būvlaukuma apsekošanu ar Pasūtītāju.</w:t>
      </w:r>
    </w:p>
    <w:p w:rsidR="004C7EF8" w:rsidRPr="004C7EF8" w:rsidRDefault="004C7EF8" w:rsidP="004C7EF8">
      <w:pPr>
        <w:tabs>
          <w:tab w:val="left" w:pos="851"/>
        </w:tabs>
        <w:jc w:val="both"/>
        <w:rPr>
          <w:sz w:val="24"/>
          <w:szCs w:val="24"/>
        </w:rPr>
      </w:pPr>
    </w:p>
    <w:p w:rsidR="004C7EF8" w:rsidRPr="004C7EF8" w:rsidRDefault="004C7EF8" w:rsidP="004C7EF8">
      <w:pPr>
        <w:widowControl w:val="0"/>
        <w:tabs>
          <w:tab w:val="center" w:pos="709"/>
          <w:tab w:val="right" w:pos="8640"/>
        </w:tabs>
        <w:overflowPunct w:val="0"/>
        <w:autoSpaceDE w:val="0"/>
        <w:autoSpaceDN w:val="0"/>
        <w:adjustRightInd w:val="0"/>
        <w:jc w:val="both"/>
        <w:rPr>
          <w:i/>
          <w:iCs/>
          <w:kern w:val="28"/>
          <w:sz w:val="24"/>
          <w:szCs w:val="24"/>
          <w:lang w:eastAsia="lv-LV"/>
        </w:rPr>
      </w:pPr>
      <w:r w:rsidRPr="004C7EF8">
        <w:rPr>
          <w:i/>
          <w:iCs/>
          <w:kern w:val="28"/>
          <w:sz w:val="24"/>
          <w:szCs w:val="24"/>
          <w:lang w:eastAsia="lv-LV"/>
        </w:rPr>
        <w:tab/>
      </w:r>
      <w:r w:rsidRPr="004C7EF8">
        <w:rPr>
          <w:i/>
          <w:iCs/>
          <w:kern w:val="28"/>
          <w:sz w:val="24"/>
          <w:szCs w:val="24"/>
          <w:lang w:eastAsia="lv-LV"/>
        </w:rPr>
        <w:tab/>
        <w:t xml:space="preserve">3. Konkursa nolikuma 7.pielikumā “Iepirkuma līguma par būvdarbu veikšanu projekts” (turpmāk- Līguma projekts) 2.2.1.punktā noteikts, ka ikmēneša darbu izpildes apmaksa tiek veikta 30 (trīsdesmit) dienu laikā pēc darbu izpildes aktu </w:t>
      </w:r>
      <w:proofErr w:type="gramStart"/>
      <w:r w:rsidRPr="004C7EF8">
        <w:rPr>
          <w:i/>
          <w:iCs/>
          <w:kern w:val="28"/>
          <w:sz w:val="24"/>
          <w:szCs w:val="24"/>
          <w:lang w:eastAsia="lv-LV"/>
        </w:rPr>
        <w:t>(</w:t>
      </w:r>
      <w:proofErr w:type="gramEnd"/>
      <w:r w:rsidRPr="004C7EF8">
        <w:rPr>
          <w:i/>
          <w:iCs/>
          <w:kern w:val="28"/>
          <w:sz w:val="24"/>
          <w:szCs w:val="24"/>
          <w:lang w:eastAsia="lv-LV"/>
        </w:rPr>
        <w:t>forma 2., 3) iesniegšanas un saskaņā ar Izpildītāja piestādītajiem rēķiniem. Tomēr ne minētajā punktā, ne arī citos Līguma projekta punktos nav noteikts, kādos termiņos ir jāiesniedz ikmēneša darbu izpildes akti un kādos termiņos Pasūtītājs tos apstiprinās.</w:t>
      </w:r>
    </w:p>
    <w:p w:rsidR="004C7EF8" w:rsidRPr="004C7EF8" w:rsidRDefault="004C7EF8" w:rsidP="004C7EF8">
      <w:pPr>
        <w:widowControl w:val="0"/>
        <w:tabs>
          <w:tab w:val="center" w:pos="709"/>
          <w:tab w:val="right" w:pos="8640"/>
        </w:tabs>
        <w:overflowPunct w:val="0"/>
        <w:autoSpaceDE w:val="0"/>
        <w:autoSpaceDN w:val="0"/>
        <w:adjustRightInd w:val="0"/>
        <w:jc w:val="both"/>
        <w:rPr>
          <w:i/>
          <w:iCs/>
          <w:kern w:val="28"/>
          <w:sz w:val="24"/>
          <w:szCs w:val="24"/>
          <w:lang w:eastAsia="lv-LV"/>
        </w:rPr>
      </w:pPr>
      <w:r w:rsidRPr="004C7EF8">
        <w:rPr>
          <w:i/>
          <w:iCs/>
          <w:kern w:val="28"/>
          <w:sz w:val="24"/>
          <w:szCs w:val="24"/>
          <w:lang w:eastAsia="lv-LV"/>
        </w:rPr>
        <w:tab/>
      </w:r>
      <w:r w:rsidRPr="004C7EF8">
        <w:rPr>
          <w:i/>
          <w:iCs/>
          <w:kern w:val="28"/>
          <w:sz w:val="24"/>
          <w:szCs w:val="24"/>
          <w:lang w:eastAsia="lv-LV"/>
        </w:rPr>
        <w:tab/>
        <w:t>Ievērojot iepriekš norādīto, Ieinteresētais piegādātājs lūdz Pasūtītāju sniegt informāciju par to, kādos termiņos Izpildītājam ir jāiesniedz ikmēneša darbu izpildes akti un cik dienu laikā Pasūtītājs tos apstiprinās vai sniegs pamatotus iebildumus (ja tādi rastos).</w:t>
      </w:r>
    </w:p>
    <w:p w:rsidR="004C7EF8" w:rsidRPr="004C7EF8" w:rsidRDefault="004C7EF8" w:rsidP="004C7EF8">
      <w:pPr>
        <w:widowControl w:val="0"/>
        <w:tabs>
          <w:tab w:val="center" w:pos="709"/>
          <w:tab w:val="right" w:pos="8640"/>
        </w:tabs>
        <w:overflowPunct w:val="0"/>
        <w:autoSpaceDE w:val="0"/>
        <w:autoSpaceDN w:val="0"/>
        <w:adjustRightInd w:val="0"/>
        <w:jc w:val="both"/>
        <w:rPr>
          <w:b/>
          <w:bCs/>
          <w:kern w:val="28"/>
          <w:sz w:val="24"/>
          <w:szCs w:val="24"/>
          <w:lang w:eastAsia="lv-LV"/>
        </w:rPr>
      </w:pPr>
      <w:r w:rsidRPr="004C7EF8">
        <w:rPr>
          <w:b/>
          <w:bCs/>
          <w:kern w:val="28"/>
          <w:sz w:val="24"/>
          <w:szCs w:val="24"/>
          <w:lang w:eastAsia="lv-LV"/>
        </w:rPr>
        <w:t xml:space="preserve">Atbilde: </w:t>
      </w:r>
    </w:p>
    <w:p w:rsidR="004C7EF8" w:rsidRPr="004C7EF8" w:rsidRDefault="004C7EF8" w:rsidP="004C7EF8">
      <w:pPr>
        <w:tabs>
          <w:tab w:val="left" w:pos="851"/>
        </w:tabs>
        <w:jc w:val="both"/>
        <w:rPr>
          <w:sz w:val="24"/>
          <w:szCs w:val="24"/>
        </w:rPr>
      </w:pPr>
      <w:r w:rsidRPr="004C7EF8">
        <w:rPr>
          <w:sz w:val="24"/>
          <w:szCs w:val="24"/>
        </w:rPr>
        <w:tab/>
        <w:t xml:space="preserve">Nolikuma 7.pielikuma “Iepirkuma līguma par būvdarbu veikšanu projekts” 2.2.1.punktā ir noteikts, ka DARBU izpildes aktu </w:t>
      </w:r>
      <w:proofErr w:type="gramStart"/>
      <w:r w:rsidRPr="004C7EF8">
        <w:rPr>
          <w:sz w:val="24"/>
          <w:szCs w:val="24"/>
        </w:rPr>
        <w:t>(</w:t>
      </w:r>
      <w:proofErr w:type="gramEnd"/>
      <w:r w:rsidRPr="004C7EF8">
        <w:rPr>
          <w:sz w:val="24"/>
          <w:szCs w:val="24"/>
        </w:rPr>
        <w:t xml:space="preserve">forma 2., 3) izpildītājs iesniedz ne biežāk kā vienu reizi mēnesī. Termiņu kādā izpildītājs iesniegs Darbu izpildes aktus, saskaņojot ar </w:t>
      </w:r>
      <w:r w:rsidRPr="004C7EF8">
        <w:rPr>
          <w:sz w:val="24"/>
          <w:szCs w:val="24"/>
        </w:rPr>
        <w:lastRenderedPageBreak/>
        <w:t xml:space="preserve">Pasūtītāju, izvēlas pats Izpildītājs, vai tas būs </w:t>
      </w:r>
      <w:proofErr w:type="gramStart"/>
      <w:r w:rsidRPr="004C7EF8">
        <w:rPr>
          <w:sz w:val="24"/>
          <w:szCs w:val="24"/>
        </w:rPr>
        <w:t>tekošā mēneša</w:t>
      </w:r>
      <w:proofErr w:type="gramEnd"/>
      <w:r w:rsidRPr="004C7EF8">
        <w:rPr>
          <w:sz w:val="24"/>
          <w:szCs w:val="24"/>
        </w:rPr>
        <w:t xml:space="preserve"> beigas, vai nākošā mēneša sākums vai beigas.</w:t>
      </w:r>
    </w:p>
    <w:p w:rsidR="004C7EF8" w:rsidRPr="004C7EF8" w:rsidRDefault="004C7EF8" w:rsidP="004C7EF8">
      <w:pPr>
        <w:tabs>
          <w:tab w:val="left" w:pos="851"/>
        </w:tabs>
        <w:jc w:val="both"/>
        <w:rPr>
          <w:sz w:val="24"/>
          <w:szCs w:val="24"/>
        </w:rPr>
      </w:pPr>
      <w:r w:rsidRPr="004C7EF8">
        <w:rPr>
          <w:sz w:val="24"/>
          <w:szCs w:val="24"/>
        </w:rPr>
        <w:tab/>
        <w:t>Attiecībā uz to, cik ilgā laikā Pasūtītājs apstiprina vai sniedz pamatotus iebildumus (ja tādi rodas), norādām, ka šis termiņš pēc analoģijas no Iesniegumu likuma un Administratīvā procesa likuma ir viens mēnesis.</w:t>
      </w:r>
    </w:p>
    <w:p w:rsidR="004C7EF8" w:rsidRPr="004C7EF8" w:rsidRDefault="004C7EF8" w:rsidP="004C7EF8">
      <w:pPr>
        <w:tabs>
          <w:tab w:val="left" w:pos="851"/>
        </w:tabs>
        <w:jc w:val="both"/>
        <w:rPr>
          <w:sz w:val="24"/>
          <w:szCs w:val="24"/>
        </w:rPr>
      </w:pPr>
    </w:p>
    <w:p w:rsidR="004C7EF8" w:rsidRPr="004C7EF8" w:rsidRDefault="004C7EF8" w:rsidP="004C7EF8">
      <w:pPr>
        <w:widowControl w:val="0"/>
        <w:tabs>
          <w:tab w:val="left" w:pos="709"/>
          <w:tab w:val="right" w:pos="8640"/>
        </w:tabs>
        <w:overflowPunct w:val="0"/>
        <w:autoSpaceDE w:val="0"/>
        <w:autoSpaceDN w:val="0"/>
        <w:adjustRightInd w:val="0"/>
        <w:jc w:val="both"/>
        <w:rPr>
          <w:i/>
          <w:iCs/>
          <w:kern w:val="28"/>
          <w:sz w:val="24"/>
          <w:szCs w:val="24"/>
          <w:lang w:eastAsia="lv-LV"/>
        </w:rPr>
      </w:pPr>
      <w:r w:rsidRPr="004C7EF8">
        <w:rPr>
          <w:sz w:val="24"/>
          <w:szCs w:val="24"/>
        </w:rPr>
        <w:tab/>
      </w:r>
      <w:r w:rsidRPr="004C7EF8">
        <w:rPr>
          <w:i/>
          <w:iCs/>
          <w:kern w:val="28"/>
          <w:sz w:val="24"/>
          <w:szCs w:val="24"/>
          <w:lang w:eastAsia="lv-LV"/>
        </w:rPr>
        <w:t xml:space="preserve">4. Par speciālistu pieredzi. Atbilstoši Konkursa nolikuma 3.pielikuma “Kvalifikācija”1.4.1.punkta par visiem piedāvātajiem speciālistiem tabulā tiek prasīts norādīt “līguma ietvaros veikto projektēšanas darbu aprakstu. </w:t>
      </w:r>
    </w:p>
    <w:p w:rsidR="004C7EF8" w:rsidRPr="004C7EF8" w:rsidRDefault="004C7EF8" w:rsidP="004C7EF8">
      <w:pPr>
        <w:widowControl w:val="0"/>
        <w:tabs>
          <w:tab w:val="left" w:pos="709"/>
          <w:tab w:val="right" w:pos="8640"/>
        </w:tabs>
        <w:overflowPunct w:val="0"/>
        <w:autoSpaceDE w:val="0"/>
        <w:autoSpaceDN w:val="0"/>
        <w:adjustRightInd w:val="0"/>
        <w:jc w:val="both"/>
        <w:rPr>
          <w:i/>
          <w:iCs/>
          <w:kern w:val="28"/>
          <w:sz w:val="24"/>
          <w:szCs w:val="24"/>
          <w:lang w:eastAsia="lv-LV"/>
        </w:rPr>
      </w:pPr>
      <w:r w:rsidRPr="004C7EF8">
        <w:rPr>
          <w:i/>
          <w:iCs/>
          <w:kern w:val="28"/>
          <w:sz w:val="24"/>
          <w:szCs w:val="24"/>
          <w:lang w:eastAsia="lv-LV"/>
        </w:rPr>
        <w:tab/>
        <w:t>Ņemot vērā, ka Konkursa priekšmetā neietilpst projektēšanas darbi, Ieinteresētais piegādātājs lūdz Pasūtītāju apstiprināt, ka pretendentiem piedāvājumā nav jānorāda piedāvāto speciālisti pieredze projektēšanas darbu izpildē.</w:t>
      </w:r>
    </w:p>
    <w:p w:rsidR="004C7EF8" w:rsidRPr="004C7EF8" w:rsidRDefault="004C7EF8" w:rsidP="004C7EF8">
      <w:pPr>
        <w:widowControl w:val="0"/>
        <w:tabs>
          <w:tab w:val="center" w:pos="709"/>
          <w:tab w:val="right" w:pos="8640"/>
        </w:tabs>
        <w:overflowPunct w:val="0"/>
        <w:autoSpaceDE w:val="0"/>
        <w:autoSpaceDN w:val="0"/>
        <w:adjustRightInd w:val="0"/>
        <w:jc w:val="both"/>
        <w:rPr>
          <w:b/>
          <w:bCs/>
          <w:kern w:val="28"/>
          <w:sz w:val="24"/>
          <w:szCs w:val="24"/>
          <w:lang w:eastAsia="lv-LV"/>
        </w:rPr>
      </w:pPr>
      <w:r w:rsidRPr="004C7EF8">
        <w:rPr>
          <w:i/>
          <w:iCs/>
          <w:kern w:val="28"/>
          <w:sz w:val="24"/>
          <w:szCs w:val="24"/>
          <w:lang w:eastAsia="lv-LV"/>
        </w:rPr>
        <w:tab/>
      </w:r>
    </w:p>
    <w:p w:rsidR="004C7EF8" w:rsidRPr="004C7EF8" w:rsidRDefault="004C7EF8" w:rsidP="004C7EF8">
      <w:pPr>
        <w:widowControl w:val="0"/>
        <w:tabs>
          <w:tab w:val="center" w:pos="709"/>
          <w:tab w:val="right" w:pos="8640"/>
        </w:tabs>
        <w:overflowPunct w:val="0"/>
        <w:autoSpaceDE w:val="0"/>
        <w:autoSpaceDN w:val="0"/>
        <w:adjustRightInd w:val="0"/>
        <w:jc w:val="both"/>
        <w:rPr>
          <w:b/>
          <w:bCs/>
          <w:kern w:val="28"/>
          <w:sz w:val="24"/>
          <w:szCs w:val="24"/>
          <w:lang w:eastAsia="lv-LV"/>
        </w:rPr>
      </w:pPr>
      <w:r w:rsidRPr="004C7EF8">
        <w:rPr>
          <w:b/>
          <w:bCs/>
          <w:kern w:val="28"/>
          <w:sz w:val="24"/>
          <w:szCs w:val="24"/>
          <w:lang w:eastAsia="lv-LV"/>
        </w:rPr>
        <w:t xml:space="preserve">Atbilde: </w:t>
      </w:r>
    </w:p>
    <w:p w:rsidR="004C7EF8" w:rsidRPr="004C7EF8" w:rsidRDefault="004C7EF8" w:rsidP="004C7EF8">
      <w:pPr>
        <w:tabs>
          <w:tab w:val="left" w:pos="851"/>
        </w:tabs>
        <w:jc w:val="both"/>
        <w:rPr>
          <w:sz w:val="24"/>
          <w:szCs w:val="24"/>
        </w:rPr>
      </w:pPr>
      <w:r w:rsidRPr="004C7EF8">
        <w:rPr>
          <w:sz w:val="24"/>
          <w:szCs w:val="24"/>
        </w:rPr>
        <w:tab/>
        <w:t>Nolikuma 3.pielikuma “Kvalifikācija” 1.3.1.punkta tabulā 4.kolonnas, 1.4.1., 1.4.2., 1.4.3., 1.4.4., 1.4.5. un 1.4.6.punkta 2.tabulas 4.kolonnas nosaukumā nav jānorāda piedāvāto speciālistu pieredze projektēšanas darbu izpildē, bet gan piedāvāto speciālistu pieredze būvdarbu veikšanā, tas izriet no attiecīgajos punktos pretendentu piedāvāto speciālistu atbilstības prasību apraksta.</w:t>
      </w:r>
    </w:p>
    <w:p w:rsidR="00437B7A" w:rsidRDefault="00437B7A" w:rsidP="0088315D">
      <w:pPr>
        <w:tabs>
          <w:tab w:val="left" w:pos="851"/>
        </w:tabs>
        <w:jc w:val="both"/>
        <w:rPr>
          <w:sz w:val="24"/>
          <w:szCs w:val="24"/>
        </w:rPr>
      </w:pPr>
    </w:p>
    <w:p w:rsidR="007B78DE" w:rsidRDefault="00A772F4" w:rsidP="0088315D">
      <w:pPr>
        <w:tabs>
          <w:tab w:val="left" w:pos="851"/>
        </w:tabs>
        <w:jc w:val="both"/>
        <w:rPr>
          <w:sz w:val="24"/>
          <w:szCs w:val="24"/>
        </w:rPr>
      </w:pPr>
      <w:r w:rsidRPr="007B78DE">
        <w:rPr>
          <w:i/>
          <w:sz w:val="24"/>
          <w:szCs w:val="24"/>
        </w:rPr>
        <w:tab/>
      </w:r>
    </w:p>
    <w:p w:rsidR="0012436C" w:rsidRPr="00033589" w:rsidRDefault="0012436C" w:rsidP="0012436C">
      <w:pPr>
        <w:jc w:val="both"/>
        <w:rPr>
          <w:sz w:val="24"/>
          <w:szCs w:val="24"/>
        </w:rPr>
      </w:pPr>
      <w:r w:rsidRPr="00033589">
        <w:rPr>
          <w:sz w:val="24"/>
          <w:szCs w:val="24"/>
        </w:rPr>
        <w:t xml:space="preserve">SIA „Kandavas komunālie pakalpojumi” </w:t>
      </w:r>
    </w:p>
    <w:p w:rsidR="00524DC7" w:rsidRPr="00524DC7" w:rsidRDefault="0012436C" w:rsidP="00524DC7">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050E11F3"/>
    <w:multiLevelType w:val="hybridMultilevel"/>
    <w:tmpl w:val="50AC5A52"/>
    <w:lvl w:ilvl="0" w:tplc="7FDEEDE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2"/>
  </w:num>
  <w:num w:numId="2">
    <w:abstractNumId w:val="3"/>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72B50"/>
    <w:rsid w:val="000A09A7"/>
    <w:rsid w:val="000D23E0"/>
    <w:rsid w:val="000D454F"/>
    <w:rsid w:val="00101A9D"/>
    <w:rsid w:val="0012436C"/>
    <w:rsid w:val="00126B62"/>
    <w:rsid w:val="00194766"/>
    <w:rsid w:val="001B38D6"/>
    <w:rsid w:val="001D29C5"/>
    <w:rsid w:val="002411BF"/>
    <w:rsid w:val="002C1079"/>
    <w:rsid w:val="002D463D"/>
    <w:rsid w:val="003154A7"/>
    <w:rsid w:val="00324F65"/>
    <w:rsid w:val="0038722E"/>
    <w:rsid w:val="003E3EE2"/>
    <w:rsid w:val="00437B7A"/>
    <w:rsid w:val="00482846"/>
    <w:rsid w:val="004A783A"/>
    <w:rsid w:val="004B50AC"/>
    <w:rsid w:val="004C12EC"/>
    <w:rsid w:val="004C7EF8"/>
    <w:rsid w:val="004D28E0"/>
    <w:rsid w:val="004D72C7"/>
    <w:rsid w:val="00524DC7"/>
    <w:rsid w:val="00530476"/>
    <w:rsid w:val="00542294"/>
    <w:rsid w:val="00545BB0"/>
    <w:rsid w:val="005A68D5"/>
    <w:rsid w:val="005B103E"/>
    <w:rsid w:val="005B4120"/>
    <w:rsid w:val="005B6D48"/>
    <w:rsid w:val="005C2642"/>
    <w:rsid w:val="00600A0C"/>
    <w:rsid w:val="0060236C"/>
    <w:rsid w:val="00627859"/>
    <w:rsid w:val="006434DD"/>
    <w:rsid w:val="006563FF"/>
    <w:rsid w:val="006A4159"/>
    <w:rsid w:val="006B0AD0"/>
    <w:rsid w:val="006E18E2"/>
    <w:rsid w:val="0070653C"/>
    <w:rsid w:val="00734CBA"/>
    <w:rsid w:val="00736C26"/>
    <w:rsid w:val="00754699"/>
    <w:rsid w:val="0076653D"/>
    <w:rsid w:val="007B78DE"/>
    <w:rsid w:val="007C249E"/>
    <w:rsid w:val="007C4501"/>
    <w:rsid w:val="0082195B"/>
    <w:rsid w:val="00834C94"/>
    <w:rsid w:val="00865A78"/>
    <w:rsid w:val="0088315D"/>
    <w:rsid w:val="00890D5F"/>
    <w:rsid w:val="008D35C0"/>
    <w:rsid w:val="008E5CF6"/>
    <w:rsid w:val="0096122D"/>
    <w:rsid w:val="009F13AC"/>
    <w:rsid w:val="009F270F"/>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4A0B"/>
    <w:rsid w:val="00C96862"/>
    <w:rsid w:val="00CA6033"/>
    <w:rsid w:val="00CB0653"/>
    <w:rsid w:val="00CF351D"/>
    <w:rsid w:val="00D806CC"/>
    <w:rsid w:val="00D934FB"/>
    <w:rsid w:val="00D93746"/>
    <w:rsid w:val="00DB5AB0"/>
    <w:rsid w:val="00DD4FF3"/>
    <w:rsid w:val="00DE32B1"/>
    <w:rsid w:val="00E0170F"/>
    <w:rsid w:val="00E63A68"/>
    <w:rsid w:val="00E863EF"/>
    <w:rsid w:val="00E921E7"/>
    <w:rsid w:val="00F20E8D"/>
    <w:rsid w:val="00F31A7E"/>
    <w:rsid w:val="00F577FB"/>
    <w:rsid w:val="00F856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3850">
      <w:bodyDiv w:val="1"/>
      <w:marLeft w:val="0"/>
      <w:marRight w:val="0"/>
      <w:marTop w:val="0"/>
      <w:marBottom w:val="0"/>
      <w:divBdr>
        <w:top w:val="none" w:sz="0" w:space="0" w:color="auto"/>
        <w:left w:val="none" w:sz="0" w:space="0" w:color="auto"/>
        <w:bottom w:val="none" w:sz="0" w:space="0" w:color="auto"/>
        <w:right w:val="none" w:sz="0" w:space="0" w:color="auto"/>
      </w:divBdr>
    </w:div>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2503</Words>
  <Characters>1427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37</cp:revision>
  <cp:lastPrinted>2014-03-06T06:48:00Z</cp:lastPrinted>
  <dcterms:created xsi:type="dcterms:W3CDTF">2014-07-01T05:18:00Z</dcterms:created>
  <dcterms:modified xsi:type="dcterms:W3CDTF">2016-06-27T12:09:00Z</dcterms:modified>
</cp:coreProperties>
</file>