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89" w:rsidRPr="00211D89" w:rsidRDefault="00211D89" w:rsidP="00211D89">
      <w:pPr>
        <w:keepNext/>
        <w:widowControl w:val="0"/>
        <w:overflowPunct w:val="0"/>
        <w:autoSpaceDE w:val="0"/>
        <w:autoSpaceDN w:val="0"/>
        <w:adjustRightInd w:val="0"/>
        <w:spacing w:before="240" w:after="60" w:line="240" w:lineRule="auto"/>
        <w:jc w:val="center"/>
        <w:outlineLvl w:val="2"/>
        <w:rPr>
          <w:rFonts w:ascii="Times New Roman" w:eastAsia="Times New Roman" w:hAnsi="Times New Roman" w:cs="Times New Roman"/>
          <w:b/>
          <w:bCs/>
          <w:kern w:val="28"/>
          <w:lang w:eastAsia="lv-LV"/>
        </w:rPr>
      </w:pPr>
      <w:r w:rsidRPr="00211D89">
        <w:rPr>
          <w:rFonts w:ascii="Times New Roman" w:eastAsia="Times New Roman" w:hAnsi="Times New Roman" w:cs="Times New Roman"/>
          <w:b/>
          <w:bCs/>
          <w:kern w:val="28"/>
          <w:lang w:eastAsia="lv-LV"/>
        </w:rPr>
        <w:t>TEHNISKĀ SPECIFIKĀCIJA</w:t>
      </w:r>
    </w:p>
    <w:p w:rsidR="00211D89" w:rsidRPr="00211D89" w:rsidRDefault="00211D89" w:rsidP="00211D8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en-GB" w:eastAsia="lv-LV"/>
        </w:rPr>
      </w:pPr>
      <w:r w:rsidRPr="00211D89">
        <w:rPr>
          <w:rFonts w:ascii="Times New Roman" w:eastAsia="Times New Roman" w:hAnsi="Times New Roman" w:cs="Times New Roman"/>
          <w:b/>
          <w:kern w:val="28"/>
          <w:sz w:val="24"/>
          <w:szCs w:val="24"/>
          <w:lang w:val="en-GB" w:eastAsia="lv-LV"/>
        </w:rPr>
        <w:t>1.VISPĀRĒJĀS PRASĪBAS</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Tehniskā specifikācija ir tehnisko aprakstu apkopojums, kas nosaka Pasūtītāja prasības attiecībā uz Kandavas pilsētas PII „Zīļuks” pārbūves būvprojekta izstrādi un autoruzraudzību ēkas energoefektivitātes paaugstināšanai. Šī tehniskā specifikācija ir funkcionāla un tā nav uzskatāma par detalizētu aprakstu. Tehniskā specifikācija ietver Pasūtītāja prasības, kuras Pretendentam Piedāvājuma sagatavošanas laikā ir uzmanīgi jāizanalizē un jāņem vērā Piedāvājuma sagatavošanā.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Tehniskā specifikācija var būt nepilnīga un tajā var nebūt detalizētu visu nepieciešamo elementu un aprakstu katrā atsevišķā sadaļā. Tādēļ katra Pretendenta pienākums ir pārliecināties, ka viņa piedāvājums, neatkarīgi no tehniskās specifikācijas, apmierina visas pasūtītāja tehniskās un estētiskās prasības, kā arī projektēšana veicama, izmantojot mūsdienu labāko praksi.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Projekta dokumentācijai pilnībā jāatbilst Latvijas Republikas būvniecības normatīvajiem aktiem, kā arī Latvijas Republikas, Eiropas un Starptautiskajiem standartiem.</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Līgumi, kas tiks noslēgts iepirkuma rezultātā, tiks noslēgts saskaņā ar iepirkuma nolikuma noteikumiem.</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Pretendents ir pilnībā atbildīgs par visu šajā dokumentā doto projekta parametru pārbaudi, kā arī par to, ka būvprojektam tiek saņemti visi saskaņojumi, kurus pieprasa iesaistītās institūcijas.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Projektēšanas kritērijiem un piedāvātajiem konceptuālajiem risinājumiem, kas izklāstīti šajā dokumentā, ir tikai ieteikuma raksturs un tie neatbrīvo Pretendentu no atbildības par Iepirkuma līguma izpildi, bet jebkura atkāpe no šajā tehniskajā specifikācijā prasītā ir jāsaskaņo ar Pasūtītāju. Sagatavojot šī projekta dokumentāciju, Pretendentam jānoskaidro prasības, kuras saskaņā ar Latvijas Republikas normatīvajiem aktiem izvirzījušas visas iesaistītās valsts un pašvaldības iestādes un uzņēmumi, un jāiestrādā tās būvprojekta dokumentācijā.</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Pretendentam ir jāsagatavo un jāiesniedz Kandavas novada Būvvaldē Būvniecības iesniegums atbilstoši normatīvo aktu prasībām.</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Pretendentam ir jānodrošina Būvatļaujā norādīto projektēšanas nosacījumu izpilde, tehnisko noteikumu pieprasīšana/saņemšana un nepieciešamo skaņojumu saņemšana.</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Pretendentam darbi jāveic saskaņā ar projektēšanas uzdevumu, atbilstoši tehniskajai specifikācijai, būvprojektam (autoruzraudzība), iepirkuma līgumam un iepirkuma nolikumam.</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Pirms būvprojekta izstrādāšanas uzsākšanas Pretendentam jāiesniedz apdrošinātāja izsniegta būvuzņēmēja civiltiesiskās atbildības obligātās apdrošināšanas polises kopija, uzrādot oriģinālu, iekļaujot tajā Pretendenta Iepirkumā uzrādīto būvspeciālistu profesionālās civiltiesiskās atbildības apdrošināšanu saskaņā ar 2014. gada </w:t>
      </w:r>
      <w:proofErr w:type="gramStart"/>
      <w:r w:rsidRPr="00211D89">
        <w:rPr>
          <w:rFonts w:ascii="Times New Roman" w:eastAsia="Times New Roman" w:hAnsi="Times New Roman" w:cs="Times New Roman"/>
          <w:kern w:val="28"/>
          <w:sz w:val="24"/>
          <w:szCs w:val="24"/>
          <w:lang w:val="en-GB" w:eastAsia="lv-LV"/>
        </w:rPr>
        <w:t>19.augusta</w:t>
      </w:r>
      <w:proofErr w:type="gramEnd"/>
      <w:r w:rsidRPr="00211D89">
        <w:rPr>
          <w:rFonts w:ascii="Times New Roman" w:eastAsia="Times New Roman" w:hAnsi="Times New Roman" w:cs="Times New Roman"/>
          <w:kern w:val="28"/>
          <w:sz w:val="24"/>
          <w:szCs w:val="24"/>
          <w:lang w:val="en-GB" w:eastAsia="lv-LV"/>
        </w:rPr>
        <w:t xml:space="preserve"> Ministru kabineta noteikumiem Nr. 502 „Noteikumi par būvspeciālistu un būvdarbu veicēju civiltiesiskās atbildības obligāto apdrošināšanu.”</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Būvprojekta sastāvā jāiekļauj būvdarbu izmaksu aprēķins, kas sastādīts atbilstoši 2015. gada 30. jūnija Ministru kabineta noteikumiem „Noteikumi par Latvijas būvnormatīvu LBN 501-15 „Būvizmaksu noteikšanas kārtība”” (lokālās tāmes, kopsavilkuma aprēķini pa darbu veidiem un koptāme).</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lastRenderedPageBreak/>
        <w:t xml:space="preserve">Būvprojekts izstrādājams latviešu valodā un būvsapulču darba valoda – latviešu.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Pretendents nes pilnu atbildību par izstrādāto būvprojektu, tai skaitā tehniskās specifikācijas un apjomu pareizību.</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Pretendentam jāņem vērā, ka </w:t>
      </w:r>
      <w:r w:rsidRPr="00211D89">
        <w:rPr>
          <w:rFonts w:ascii="Times New Roman" w:eastAsia="Times New Roman" w:hAnsi="Times New Roman" w:cs="Times New Roman"/>
          <w:b/>
          <w:kern w:val="28"/>
          <w:sz w:val="24"/>
          <w:szCs w:val="24"/>
          <w:lang w:val="en-GB" w:eastAsia="lv-LV"/>
        </w:rPr>
        <w:t>Pasūtītājs pirms būvprojekta saskaņošanas veiks būvprojekta ekspertīzi, kas aizņems vismaz 1 (vienu) mēnesi</w:t>
      </w:r>
      <w:r w:rsidRPr="00211D89">
        <w:rPr>
          <w:rFonts w:ascii="Times New Roman" w:eastAsia="Times New Roman" w:hAnsi="Times New Roman" w:cs="Times New Roman"/>
          <w:kern w:val="28"/>
          <w:sz w:val="24"/>
          <w:szCs w:val="24"/>
          <w:lang w:val="en-GB" w:eastAsia="lv-LV"/>
        </w:rPr>
        <w:t xml:space="preserve">, tātad Pretendentam, lai iekļautos līguma termiņā, būvprojekts saskaņošanai Pasūtītājam </w:t>
      </w:r>
      <w:r w:rsidRPr="00211D89">
        <w:rPr>
          <w:rFonts w:ascii="Times New Roman" w:eastAsia="Times New Roman" w:hAnsi="Times New Roman" w:cs="Times New Roman"/>
          <w:b/>
          <w:kern w:val="28"/>
          <w:sz w:val="24"/>
          <w:szCs w:val="24"/>
          <w:lang w:val="en-GB" w:eastAsia="lv-LV"/>
        </w:rPr>
        <w:t xml:space="preserve">ir jāiesniedz līdz 2017.gada </w:t>
      </w:r>
      <w:proofErr w:type="gramStart"/>
      <w:r w:rsidRPr="00211D89">
        <w:rPr>
          <w:rFonts w:ascii="Times New Roman" w:eastAsia="Times New Roman" w:hAnsi="Times New Roman" w:cs="Times New Roman"/>
          <w:b/>
          <w:kern w:val="28"/>
          <w:sz w:val="24"/>
          <w:szCs w:val="24"/>
          <w:lang w:val="en-GB" w:eastAsia="lv-LV"/>
        </w:rPr>
        <w:t>2.oktobrim</w:t>
      </w:r>
      <w:proofErr w:type="gramEnd"/>
      <w:r w:rsidRPr="00211D89">
        <w:rPr>
          <w:rFonts w:ascii="Times New Roman" w:eastAsia="Times New Roman" w:hAnsi="Times New Roman" w:cs="Times New Roman"/>
          <w:b/>
          <w:kern w:val="28"/>
          <w:sz w:val="24"/>
          <w:szCs w:val="24"/>
          <w:lang w:val="en-GB" w:eastAsia="lv-LV"/>
        </w:rPr>
        <w:t>.</w:t>
      </w:r>
      <w:r w:rsidRPr="00211D89">
        <w:rPr>
          <w:rFonts w:ascii="Times New Roman" w:eastAsia="Times New Roman" w:hAnsi="Times New Roman" w:cs="Times New Roman"/>
          <w:kern w:val="28"/>
          <w:sz w:val="24"/>
          <w:szCs w:val="24"/>
          <w:lang w:val="en-GB" w:eastAsia="lv-LV"/>
        </w:rPr>
        <w:t xml:space="preserve">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Autoruzraudzības laikā būvprojekta izstrādātājs bez papildus samaksas novērš konstatētās projekta dokumentācijas nepilnības un kļūdas un izstrādā nepieciešamos izmaiņu vai papildus rasējumus. Autoruzraudzības izmaksās jāparedz visi nepieciešamie līdzekļi, lai visu būvniecības laiku varētu nodrošināt autoruzraudzību būvobjektā.</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Reizi trijās nedēļās, Pretendentam izstrādājot būvprojektu, jānoorganizē sapulce pie Pasūtītāja, kurā Pretendents izklāsta paveikto, būvprojekta izstrādes gaitu, esošos risinājumus un tālākās darbības.</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Būvprojekta izstrādes laikā būvsapulcēs obligāti jāpiedalās būvprojekta vadītājam. Pēc Pasūtītāja pieprasījuma būvprojekta izstrādes sapulcēs jāpiedalās arī citiem iesaistītajiem speciālistiem no Pretendenta puses.</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Parakstot Iepirkuma līgumu, Pretendents apliecina, ka ir iepazinies un izpētījis apstākļus, kas varētu ietekmēt iepirkuma priekšmeta izpildi un samaksas noteikšanu par iepirkuma priekšmeta izpildi. </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Pasūtītājs neparedz apmaksāt Pretendenta uzrādītos papildus darbus virs finanšu piedāvājumā uzrādītā.</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Pretendents pilnībā uzņemas atbildību un risku par visu būvprojekta izstrādei nepieciešamās izpētes darbu veikšanu un informācijas iegūšanu.</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kern w:val="28"/>
          <w:sz w:val="24"/>
          <w:szCs w:val="24"/>
          <w:lang w:val="en-GB" w:eastAsia="lv-LV"/>
        </w:rPr>
        <w:t>Pēc iepirkuma procedūras beigām pretenzijas par Iepirkuma nolikuma (tajā skaitā tehniskās specifikācijas) nepilnībām vai citiem apstākļiem, kas palielina piedāvājuma cenu, netiks ņemtas vērā.</w:t>
      </w:r>
    </w:p>
    <w:p w:rsidR="00211D89" w:rsidRPr="00211D89" w:rsidRDefault="00211D89" w:rsidP="00211D89">
      <w:pPr>
        <w:widowControl w:val="0"/>
        <w:numPr>
          <w:ilvl w:val="0"/>
          <w:numId w:val="4"/>
        </w:num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211D89">
        <w:rPr>
          <w:rFonts w:ascii="Times New Roman" w:eastAsia="Times New Roman" w:hAnsi="Times New Roman" w:cs="Times New Roman"/>
          <w:color w:val="000000"/>
          <w:sz w:val="24"/>
          <w:szCs w:val="24"/>
          <w:lang w:eastAsia="ar-SA"/>
        </w:rPr>
        <w:t>Pretendents ar savu piedāvājumu apliecina, ka ir iegūtas visas tiesību aktos pieprasītās atļaujas un licences, kas ir vajadzīgas šī iepirkuma prasību īstenošanai.</w:t>
      </w:r>
    </w:p>
    <w:p w:rsidR="00211D89" w:rsidRPr="00211D89" w:rsidRDefault="00211D89" w:rsidP="00211D89">
      <w:pPr>
        <w:widowControl w:val="0"/>
        <w:numPr>
          <w:ilvl w:val="0"/>
          <w:numId w:val="4"/>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211D89">
        <w:rPr>
          <w:rFonts w:ascii="Times New Roman" w:eastAsia="Times New Roman" w:hAnsi="Times New Roman" w:cs="Times New Roman"/>
          <w:bCs/>
          <w:kern w:val="28"/>
          <w:sz w:val="24"/>
          <w:szCs w:val="24"/>
          <w:lang w:eastAsia="lv-LV"/>
        </w:rPr>
        <w:t>Būvprojekta izstrādes gaitā radušos jautājumus saskaņo ar Pasūtītāja pārstāvi.</w:t>
      </w:r>
    </w:p>
    <w:p w:rsidR="00211D89" w:rsidRPr="00211D89" w:rsidRDefault="00211D89" w:rsidP="00211D89">
      <w:pPr>
        <w:widowControl w:val="0"/>
        <w:numPr>
          <w:ilvl w:val="1"/>
          <w:numId w:val="5"/>
        </w:numPr>
        <w:suppressAutoHyphens/>
        <w:overflowPunct w:val="0"/>
        <w:autoSpaceDE w:val="0"/>
        <w:autoSpaceDN w:val="0"/>
        <w:adjustRightInd w:val="0"/>
        <w:spacing w:after="0" w:line="240" w:lineRule="auto"/>
        <w:ind w:left="284" w:hanging="284"/>
        <w:rPr>
          <w:rFonts w:ascii="Times New Roman" w:eastAsia="Times New Roman" w:hAnsi="Times New Roman" w:cs="Times New Roman"/>
          <w:kern w:val="28"/>
          <w:sz w:val="24"/>
          <w:szCs w:val="24"/>
          <w:lang w:eastAsia="lv-LV"/>
        </w:rPr>
      </w:pPr>
      <w:r w:rsidRPr="00211D89">
        <w:rPr>
          <w:rFonts w:ascii="Times New Roman" w:eastAsia="Times New Roman" w:hAnsi="Times New Roman" w:cs="Times New Roman"/>
          <w:kern w:val="28"/>
          <w:sz w:val="24"/>
          <w:szCs w:val="24"/>
          <w:lang w:eastAsia="lv-LV"/>
        </w:rPr>
        <w:t xml:space="preserve">Būvprojekta risinājumiem ir jāatbilst energoauditā norādītajām prasībām. </w:t>
      </w:r>
    </w:p>
    <w:p w:rsidR="00211D89" w:rsidRPr="00211D89" w:rsidRDefault="00211D89" w:rsidP="00211D89">
      <w:pPr>
        <w:widowControl w:val="0"/>
        <w:numPr>
          <w:ilvl w:val="1"/>
          <w:numId w:val="5"/>
        </w:numPr>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kern w:val="28"/>
          <w:sz w:val="24"/>
          <w:szCs w:val="24"/>
          <w:lang w:eastAsia="lv-LV"/>
        </w:rPr>
      </w:pPr>
      <w:r w:rsidRPr="00211D89">
        <w:rPr>
          <w:rFonts w:ascii="Times New Roman" w:eastAsia="Times New Roman" w:hAnsi="Times New Roman" w:cs="Times New Roman"/>
          <w:color w:val="000000"/>
          <w:kern w:val="3"/>
          <w:sz w:val="24"/>
          <w:szCs w:val="24"/>
          <w:lang w:eastAsia="zh-CN"/>
        </w:rPr>
        <w:t>Piecu dienu laikā no būvatļaujas spēkā stāšanās dienas Pretendents par saviem līdzekļiem uzstāda būvtāfeli atbilstoši normatīvo aktu prasībām.</w:t>
      </w:r>
    </w:p>
    <w:p w:rsidR="00211D89" w:rsidRPr="00211D89" w:rsidRDefault="00211D89" w:rsidP="00211D89">
      <w:pPr>
        <w:suppressAutoHyphens/>
        <w:spacing w:after="0" w:line="240" w:lineRule="auto"/>
        <w:ind w:left="284"/>
        <w:rPr>
          <w:rFonts w:ascii="Times New Roman" w:eastAsia="Times New Roman" w:hAnsi="Times New Roman" w:cs="Times New Roman"/>
          <w:kern w:val="28"/>
          <w:sz w:val="24"/>
          <w:szCs w:val="24"/>
          <w:lang w:eastAsia="lv-LV"/>
        </w:rPr>
      </w:pPr>
    </w:p>
    <w:p w:rsidR="00211D89" w:rsidRPr="00211D89" w:rsidRDefault="00211D89" w:rsidP="00211D89">
      <w:pPr>
        <w:keepNext/>
        <w:numPr>
          <w:ilvl w:val="5"/>
          <w:numId w:val="0"/>
        </w:numPr>
        <w:tabs>
          <w:tab w:val="num" w:pos="0"/>
        </w:tabs>
        <w:suppressAutoHyphens/>
        <w:spacing w:after="0" w:line="240" w:lineRule="auto"/>
        <w:ind w:left="1152" w:hanging="1152"/>
        <w:jc w:val="center"/>
        <w:outlineLvl w:val="5"/>
        <w:rPr>
          <w:rFonts w:ascii="Times New Roman" w:eastAsia="Times New Roman" w:hAnsi="Times New Roman" w:cs="Times New Roman"/>
          <w:b/>
          <w:iCs/>
          <w:kern w:val="28"/>
          <w:sz w:val="24"/>
          <w:szCs w:val="24"/>
          <w:lang w:eastAsia="lv-LV"/>
        </w:rPr>
      </w:pPr>
      <w:r w:rsidRPr="00211D89">
        <w:rPr>
          <w:rFonts w:ascii="Times New Roman" w:eastAsia="Times New Roman" w:hAnsi="Times New Roman" w:cs="Times New Roman"/>
          <w:b/>
          <w:iCs/>
          <w:kern w:val="28"/>
          <w:sz w:val="24"/>
          <w:szCs w:val="24"/>
          <w:lang w:eastAsia="lv-LV"/>
        </w:rPr>
        <w:t>2. PROJEKTĒŠANAS UZDEVUMS</w:t>
      </w:r>
    </w:p>
    <w:p w:rsidR="00211D89" w:rsidRPr="00211D89" w:rsidRDefault="00211D89" w:rsidP="00211D8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211D89">
        <w:rPr>
          <w:rFonts w:ascii="Times New Roman" w:eastAsia="Times New Roman" w:hAnsi="Times New Roman" w:cs="Times New Roman"/>
          <w:kern w:val="28"/>
          <w:sz w:val="24"/>
          <w:szCs w:val="24"/>
          <w:lang w:eastAsia="lv-LV"/>
        </w:rPr>
        <w:t>Būvprojekta izstrādei</w:t>
      </w:r>
    </w:p>
    <w:p w:rsidR="00211D89" w:rsidRPr="00211D89" w:rsidRDefault="00211D89" w:rsidP="00211D8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211D89">
        <w:rPr>
          <w:rFonts w:ascii="Times New Roman" w:eastAsia="Times New Roman" w:hAnsi="Times New Roman" w:cs="Times New Roman"/>
          <w:b/>
          <w:kern w:val="28"/>
          <w:sz w:val="24"/>
          <w:szCs w:val="24"/>
          <w:lang w:eastAsia="lv-LV"/>
        </w:rPr>
        <w:t>“</w:t>
      </w:r>
      <w:r w:rsidRPr="00211D89">
        <w:rPr>
          <w:rFonts w:ascii="Times New Roman" w:eastAsia="Times New Roman" w:hAnsi="Times New Roman" w:cs="Times New Roman"/>
          <w:kern w:val="28"/>
          <w:sz w:val="24"/>
          <w:szCs w:val="24"/>
          <w:lang w:eastAsia="lv-LV"/>
        </w:rPr>
        <w:t xml:space="preserve"> </w:t>
      </w:r>
      <w:r w:rsidRPr="00211D89">
        <w:rPr>
          <w:rFonts w:ascii="Times New Roman" w:eastAsia="Times New Roman" w:hAnsi="Times New Roman" w:cs="Times New Roman"/>
          <w:b/>
          <w:kern w:val="28"/>
          <w:sz w:val="24"/>
          <w:szCs w:val="24"/>
          <w:lang w:eastAsia="lv-LV"/>
        </w:rPr>
        <w:t>Kandavas pilsētas PII „Zīļuks” pārbūve”</w:t>
      </w:r>
    </w:p>
    <w:tbl>
      <w:tblPr>
        <w:tblW w:w="0" w:type="auto"/>
        <w:tblInd w:w="-35" w:type="dxa"/>
        <w:tblLayout w:type="fixed"/>
        <w:tblLook w:val="0000" w:firstRow="0" w:lastRow="0" w:firstColumn="0" w:lastColumn="0" w:noHBand="0" w:noVBand="0"/>
      </w:tblPr>
      <w:tblGrid>
        <w:gridCol w:w="675"/>
        <w:gridCol w:w="2160"/>
        <w:gridCol w:w="6095"/>
      </w:tblGrid>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Pasūtītāja organizācijas nosaukums, reģ. Nr. adrese, tālrunis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Kandavas novada dome</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reģ., Nr. 90000050886, Dārza iela 6, Kandava, Kandavas novads, LV – 3120, t. 63182028, fakss: 63182027</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2.</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Projektējamā objekta nosaukums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keepNext/>
              <w:numPr>
                <w:ilvl w:val="2"/>
                <w:numId w:val="0"/>
              </w:numPr>
              <w:tabs>
                <w:tab w:val="num" w:pos="0"/>
              </w:tabs>
              <w:suppressAutoHyphens/>
              <w:spacing w:after="0" w:line="240" w:lineRule="auto"/>
              <w:ind w:left="35" w:hanging="35"/>
              <w:outlineLvl w:val="2"/>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Kandavas pilsētas PII „Zīļuks” pārbūve</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3.</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Adrese</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Raiņa iela 14, Kandava, Kandavas novads, LV - 3120</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4.</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Kadastra apzīmējums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9011 001 0384 001</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5.</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Zemes gabala un ēkas īpašnieks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Kandavas novada dome</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lastRenderedPageBreak/>
              <w:t>6.</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Objekta pamatizmantošana</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Kods – 1263 Skolas, universitātes un zinātniskajai pētniecībai paredzētās ēkas</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7.</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Būves stāvu skaits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2 virszemes, 1 pazemes</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8.</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Būves apbūves laukums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vertAlign w:val="superscript"/>
                <w:lang w:val="en-GB" w:eastAsia="lv-LV"/>
              </w:rPr>
            </w:pPr>
            <w:r w:rsidRPr="00211D89">
              <w:rPr>
                <w:rFonts w:ascii="Times New Roman" w:eastAsia="Times New Roman" w:hAnsi="Times New Roman" w:cs="Times New Roman"/>
                <w:kern w:val="28"/>
                <w:sz w:val="24"/>
                <w:szCs w:val="24"/>
                <w:lang w:val="en-GB" w:eastAsia="lv-LV"/>
              </w:rPr>
              <w:t>1322,40m</w:t>
            </w:r>
            <w:r w:rsidRPr="00211D89">
              <w:rPr>
                <w:rFonts w:ascii="Times New Roman" w:eastAsia="Times New Roman" w:hAnsi="Times New Roman" w:cs="Times New Roman"/>
                <w:kern w:val="28"/>
                <w:sz w:val="24"/>
                <w:szCs w:val="24"/>
                <w:vertAlign w:val="superscript"/>
                <w:lang w:val="en-GB" w:eastAsia="lv-LV"/>
              </w:rPr>
              <w:t>2</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9.</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Būvtilpums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vertAlign w:val="superscript"/>
                <w:lang w:val="en-GB" w:eastAsia="lv-LV"/>
              </w:rPr>
            </w:pPr>
            <w:r w:rsidRPr="00211D89">
              <w:rPr>
                <w:rFonts w:ascii="Times New Roman" w:eastAsia="Times New Roman" w:hAnsi="Times New Roman" w:cs="Times New Roman"/>
                <w:kern w:val="28"/>
                <w:sz w:val="24"/>
                <w:szCs w:val="24"/>
                <w:lang w:val="en-GB" w:eastAsia="lv-LV"/>
              </w:rPr>
              <w:t>9638m</w:t>
            </w:r>
            <w:r w:rsidRPr="00211D89">
              <w:rPr>
                <w:rFonts w:ascii="Times New Roman" w:eastAsia="Times New Roman" w:hAnsi="Times New Roman" w:cs="Times New Roman"/>
                <w:kern w:val="28"/>
                <w:sz w:val="24"/>
                <w:szCs w:val="24"/>
                <w:vertAlign w:val="superscript"/>
                <w:lang w:val="en-GB" w:eastAsia="lv-LV"/>
              </w:rPr>
              <w:t>3</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10.</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Būves kopējā platība</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vertAlign w:val="superscript"/>
                <w:lang w:val="en-GB" w:eastAsia="lv-LV"/>
              </w:rPr>
            </w:pPr>
            <w:r w:rsidRPr="00211D89">
              <w:rPr>
                <w:rFonts w:ascii="Times New Roman" w:eastAsia="Times New Roman" w:hAnsi="Times New Roman" w:cs="Times New Roman"/>
                <w:kern w:val="28"/>
                <w:sz w:val="24"/>
                <w:szCs w:val="24"/>
                <w:lang w:val="en-GB" w:eastAsia="lv-LV"/>
              </w:rPr>
              <w:t>2844,20m</w:t>
            </w:r>
            <w:r w:rsidRPr="00211D89">
              <w:rPr>
                <w:rFonts w:ascii="Times New Roman" w:eastAsia="Times New Roman" w:hAnsi="Times New Roman" w:cs="Times New Roman"/>
                <w:kern w:val="28"/>
                <w:sz w:val="24"/>
                <w:szCs w:val="24"/>
                <w:vertAlign w:val="superscript"/>
                <w:lang w:val="en-GB" w:eastAsia="lv-LV"/>
              </w:rPr>
              <w:t>2</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11.</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Būves lietderīgā platība</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2844,20m</w:t>
            </w:r>
            <w:r w:rsidRPr="00211D89">
              <w:rPr>
                <w:rFonts w:ascii="Times New Roman" w:eastAsia="Times New Roman" w:hAnsi="Times New Roman" w:cs="Times New Roman"/>
                <w:kern w:val="28"/>
                <w:sz w:val="24"/>
                <w:szCs w:val="24"/>
                <w:vertAlign w:val="superscript"/>
                <w:lang w:val="en-GB" w:eastAsia="lv-LV"/>
              </w:rPr>
              <w:t>2</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12.</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Būvniecības veids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highlight w:val="yellow"/>
                <w:lang w:val="en-GB" w:eastAsia="lv-LV"/>
              </w:rPr>
            </w:pPr>
            <w:r w:rsidRPr="00211D89">
              <w:rPr>
                <w:rFonts w:ascii="Times New Roman" w:eastAsia="Times New Roman" w:hAnsi="Times New Roman" w:cs="Times New Roman"/>
                <w:bCs/>
                <w:kern w:val="28"/>
                <w:sz w:val="24"/>
                <w:szCs w:val="24"/>
                <w:lang w:val="en-GB" w:eastAsia="lv-LV"/>
              </w:rPr>
              <w:t>Pārbūve</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13.</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Vispārīgie noteikumi</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Izpildītājam ir pienākums pārliecināties, ka viņa piedāvājums apmierina visas Pasūtītāja tehniskās prasības, kā arī Latvijas Republikas spēkā esošos normatīvos aktus, tehniskos noteikumus, Eiropas Savienības un starptautiskos standartus, Kandavas novada būvvaldes prasības.</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 xml:space="preserve">Izpildītājs ir atbildīgs par visu nepieciešamo atļauju </w:t>
            </w:r>
            <w:proofErr w:type="gramStart"/>
            <w:r w:rsidRPr="00211D89">
              <w:rPr>
                <w:rFonts w:ascii="Times New Roman" w:eastAsia="Times New Roman" w:hAnsi="Times New Roman" w:cs="Times New Roman"/>
                <w:bCs/>
                <w:kern w:val="28"/>
                <w:sz w:val="24"/>
                <w:szCs w:val="24"/>
                <w:lang w:val="en-GB" w:eastAsia="lv-LV"/>
              </w:rPr>
              <w:t>un  saskaņojumu</w:t>
            </w:r>
            <w:proofErr w:type="gramEnd"/>
            <w:r w:rsidRPr="00211D89">
              <w:rPr>
                <w:rFonts w:ascii="Times New Roman" w:eastAsia="Times New Roman" w:hAnsi="Times New Roman" w:cs="Times New Roman"/>
                <w:bCs/>
                <w:kern w:val="28"/>
                <w:sz w:val="24"/>
                <w:szCs w:val="24"/>
                <w:lang w:val="en-GB" w:eastAsia="lv-LV"/>
              </w:rPr>
              <w:t xml:space="preserve"> saņemšanu Būvprojekta apstiprināšanai.</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Būvprojekta trūkumus un nepilnības novērš Izpildītājs uz sava rēķina.</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Projekta gaitā radušos jautājumus saskaņo ar Pasūtītāja pārstāvi.</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14.</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Projektēšanas galvenie kritēriji</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Arhitektūras kvalitāte.</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Funkcionalitāte.</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Ilgtspējības pasākumi (tajā skaitā energoefektivitāte).</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Vides pieejamība.</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Drošība.</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Izmaksu efektivitāte.</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Galvenie energoefektivitātes uzlabošanas pasākumi:</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Jumta papildus siltināšanu, jumta seguma un lietus ūdens noteku atjaunošana.</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Ārsienu konstrukciju papildus siltināšana.</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Cokola daļas papildus siltināšana, lietus kanalizācijas sistēmas izveidošana, apmales izveidošana un sakārtošana.</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Logu un durvju pilnīga nomaiņa, iekļaujot arī ieejas nojumju atjaunošanu un vējtveru izbūvi. Logu un durvju ailsānu siltināšana. Logiem un durvīm pieguļošo sienu pilna kosmētiskā apdare un krāsojums.</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Pagraba pārseguma papildus siltināšana.</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Apkures sistēmas pārbūve un balansēšana.</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 xml:space="preserve">Sadales cauruļvadu pārbūve. </w:t>
            </w:r>
          </w:p>
          <w:p w:rsidR="00211D89" w:rsidRPr="00211D89" w:rsidRDefault="00211D89" w:rsidP="00211D89">
            <w:pPr>
              <w:widowControl w:val="0"/>
              <w:numPr>
                <w:ilvl w:val="0"/>
                <w:numId w:val="3"/>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Ventilācijas sistēmas pārbūve – mehāniskās ventilācijas izbūve ar rekuperāciju.</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15.</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Īpašie nosacījumi</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 xml:space="preserve">Projektēt tā, lai būvdarbu laikā būtu nodrošināta vismaz daļēja bērnudārza darbība. </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16.</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Pasūtītājs nodrošina</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 xml:space="preserve">Īpašuma apliecinošus dokumentus, inventarizācijas </w:t>
            </w:r>
            <w:proofErr w:type="gramStart"/>
            <w:r w:rsidRPr="00211D89">
              <w:rPr>
                <w:rFonts w:ascii="Times New Roman" w:eastAsia="Times New Roman" w:hAnsi="Times New Roman" w:cs="Times New Roman"/>
                <w:bCs/>
                <w:kern w:val="28"/>
                <w:sz w:val="24"/>
                <w:szCs w:val="24"/>
                <w:lang w:val="en-GB" w:eastAsia="lv-LV"/>
              </w:rPr>
              <w:t>plānus,  energoauditu</w:t>
            </w:r>
            <w:proofErr w:type="gramEnd"/>
            <w:r w:rsidRPr="00211D89">
              <w:rPr>
                <w:rFonts w:ascii="Times New Roman" w:eastAsia="Times New Roman" w:hAnsi="Times New Roman" w:cs="Times New Roman"/>
                <w:bCs/>
                <w:kern w:val="28"/>
                <w:sz w:val="24"/>
                <w:szCs w:val="24"/>
                <w:lang w:val="en-GB" w:eastAsia="lv-LV"/>
              </w:rPr>
              <w:t>.</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lastRenderedPageBreak/>
              <w:t>17.</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Būvniecības kārtas</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Viena</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18.</w:t>
            </w:r>
          </w:p>
        </w:tc>
        <w:tc>
          <w:tcPr>
            <w:tcW w:w="2160" w:type="dxa"/>
            <w:tcBorders>
              <w:top w:val="single" w:sz="4" w:space="0" w:color="000000"/>
              <w:left w:val="single" w:sz="4" w:space="0" w:color="000000"/>
              <w:bottom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Būvprojekts minimālā sastāvā</w:t>
            </w:r>
          </w:p>
        </w:tc>
        <w:tc>
          <w:tcPr>
            <w:tcW w:w="6095" w:type="dxa"/>
            <w:tcBorders>
              <w:top w:val="single" w:sz="4" w:space="0" w:color="000000"/>
              <w:left w:val="single" w:sz="4" w:space="0" w:color="000000"/>
              <w:bottom w:val="single" w:sz="4" w:space="0" w:color="000000"/>
              <w:right w:val="single" w:sz="4" w:space="0" w:color="000000"/>
            </w:tcBorders>
            <w:vAlign w:val="center"/>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Būvniecības ieceres dokumentācijas izstrāde ar būvprojektu minimālā sastāvā ar būvatļaujas projektēšanas nosacījumiem saņemšanai. Būvprojekta minimālais sastāvs izstrādājams 4 oriģināleksemplāros (1 būvvaldei, 1 Pasūtītājam, 1 Pretendentam, 1 Būvniecības valsts kontroles birojam). Būvprojektam minimālā sastāvā obligāti jāietver skaidrojošs apraksts, izbūves secība, raksturīgie griezumi. Jāiesniedz Kandavas novada būvvaldei 6 (sešu) nedēļu laikā no līguma parakstīšanas dienas.</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19.</w:t>
            </w:r>
          </w:p>
        </w:tc>
        <w:tc>
          <w:tcPr>
            <w:tcW w:w="2160"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Būvprojekta sastāvs: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p>
        </w:tc>
        <w:tc>
          <w:tcPr>
            <w:tcW w:w="6095" w:type="dxa"/>
            <w:tcBorders>
              <w:top w:val="single" w:sz="4" w:space="0" w:color="000000"/>
              <w:left w:val="single" w:sz="4" w:space="0" w:color="000000"/>
              <w:bottom w:val="single" w:sz="4" w:space="0" w:color="000000"/>
              <w:right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Būvprojekta izstrāde ar būvatļaujā iekļauto projektēšanas nosacījumu izpildi, kā arī būvprojekta saskaņošana atbildīgajās iestādēs</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
                <w:kern w:val="28"/>
                <w:sz w:val="24"/>
                <w:szCs w:val="24"/>
                <w:lang w:val="en-GB" w:eastAsia="lv-LV"/>
              </w:rPr>
            </w:pPr>
            <w:r w:rsidRPr="00211D89">
              <w:rPr>
                <w:rFonts w:ascii="Times New Roman" w:eastAsia="Times New Roman" w:hAnsi="Times New Roman" w:cs="Times New Roman"/>
                <w:b/>
                <w:kern w:val="28"/>
                <w:sz w:val="24"/>
                <w:szCs w:val="24"/>
                <w:lang w:val="en-GB" w:eastAsia="lv-LV"/>
              </w:rPr>
              <w:t xml:space="preserve">Būvniecības iecere </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
                <w:kern w:val="28"/>
                <w:sz w:val="24"/>
                <w:szCs w:val="24"/>
                <w:lang w:val="en-GB" w:eastAsia="lv-LV"/>
              </w:rPr>
              <w:t>Vispārīgā daļa</w:t>
            </w:r>
            <w:r w:rsidRPr="00211D89">
              <w:rPr>
                <w:rFonts w:ascii="Times New Roman" w:eastAsia="Times New Roman" w:hAnsi="Times New Roman" w:cs="Times New Roman"/>
                <w:bCs/>
                <w:kern w:val="28"/>
                <w:sz w:val="24"/>
                <w:szCs w:val="24"/>
                <w:lang w:val="en-GB" w:eastAsia="lv-LV"/>
              </w:rPr>
              <w:t xml:space="preserve"> </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Būvju tehniskās apsekošanas atzinums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Būvprojektēšanas uzsākšanai nepieciešamie dokumenti Skaidrojošais apraksts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Ugunsdrošības pasākumu pārskats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n-GB" w:eastAsia="lv-LV"/>
              </w:rPr>
            </w:pPr>
            <w:r w:rsidRPr="00211D89">
              <w:rPr>
                <w:rFonts w:ascii="Times New Roman" w:eastAsia="Times New Roman" w:hAnsi="Times New Roman" w:cs="Times New Roman"/>
                <w:b/>
                <w:bCs/>
                <w:kern w:val="28"/>
                <w:sz w:val="24"/>
                <w:szCs w:val="24"/>
                <w:lang w:val="en-GB" w:eastAsia="lv-LV"/>
              </w:rPr>
              <w:t xml:space="preserve">Arhitektūras daļa </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Ģenerālplāna risinājumi:  </w:t>
            </w:r>
          </w:p>
          <w:p w:rsidR="00211D89" w:rsidRPr="00211D89" w:rsidRDefault="00211D89" w:rsidP="00211D89">
            <w:pPr>
              <w:widowControl w:val="0"/>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Savietotais inženiertīklu kopplāns</w:t>
            </w:r>
          </w:p>
          <w:p w:rsidR="00211D89" w:rsidRPr="00211D89" w:rsidRDefault="00211D89" w:rsidP="00211D89">
            <w:pPr>
              <w:widowControl w:val="0"/>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Horizontālās piesaistes plāns</w:t>
            </w:r>
          </w:p>
          <w:p w:rsidR="00211D89" w:rsidRPr="00211D89" w:rsidRDefault="00211D89" w:rsidP="00211D89">
            <w:pPr>
              <w:widowControl w:val="0"/>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Vertikālais plānojums</w:t>
            </w:r>
          </w:p>
          <w:p w:rsidR="00211D89" w:rsidRPr="00211D89" w:rsidRDefault="00211D89" w:rsidP="00211D89">
            <w:pPr>
              <w:widowControl w:val="0"/>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Labiekārtojuma plāns utt.</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Arhitektūras risinājumi </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Krāsu pase</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Interjers (apkures ķermeņi, ventilācijas nosūces restes, vēdināšanas iekārta, ap logiem un radiatoriem pieguļošo sienu apdare, sienu krāsu toņi)</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n-GB" w:eastAsia="lv-LV"/>
              </w:rPr>
            </w:pPr>
            <w:r w:rsidRPr="00211D89">
              <w:rPr>
                <w:rFonts w:ascii="Times New Roman" w:eastAsia="Times New Roman" w:hAnsi="Times New Roman" w:cs="Times New Roman"/>
                <w:b/>
                <w:bCs/>
                <w:kern w:val="28"/>
                <w:sz w:val="24"/>
                <w:szCs w:val="24"/>
                <w:lang w:val="en-GB" w:eastAsia="lv-LV"/>
              </w:rPr>
              <w:t>Inženierrisinājumu daļa</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Būvkonstrukcijas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Būvizstrādājumu un būvmateriālu specifikācijas, mezglu detalizācija, griezumi</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Siltumapgāde un siltummehānika (siltummezgls)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Ārējā elektroapgāde (zibensaizsardzība) </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Apkure, ventilācija un gaisa kondicionēšana</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Ūdensapgāde, kanalizācija (ārējā)</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Ugunsdrošības pasākumu pārskats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n-GB" w:eastAsia="lv-LV"/>
              </w:rPr>
            </w:pPr>
            <w:r w:rsidRPr="00211D89">
              <w:rPr>
                <w:rFonts w:ascii="Times New Roman" w:eastAsia="Times New Roman" w:hAnsi="Times New Roman" w:cs="Times New Roman"/>
                <w:b/>
                <w:bCs/>
                <w:kern w:val="28"/>
                <w:sz w:val="24"/>
                <w:szCs w:val="24"/>
                <w:lang w:val="en-GB" w:eastAsia="lv-LV"/>
              </w:rPr>
              <w:t>Ekonomikas daļa</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Iekārtu, konstrukciju un materiālu kopsavilkums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Būvdarbu apjomu saraksts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Izmaksu aprēķins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r w:rsidRPr="00211D89">
              <w:rPr>
                <w:rFonts w:ascii="Times New Roman" w:eastAsia="Times New Roman" w:hAnsi="Times New Roman" w:cs="Times New Roman"/>
                <w:b/>
                <w:kern w:val="28"/>
                <w:sz w:val="24"/>
                <w:szCs w:val="24"/>
                <w:lang w:val="en-GB" w:eastAsia="lv-LV"/>
              </w:rPr>
              <w:t>Darbu organizēšanas projekts</w:t>
            </w:r>
          </w:p>
          <w:p w:rsidR="00211D89" w:rsidRPr="00211D89" w:rsidRDefault="00211D89" w:rsidP="00211D8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r w:rsidRPr="00211D89">
              <w:rPr>
                <w:rFonts w:ascii="Times New Roman" w:eastAsia="Times New Roman" w:hAnsi="Times New Roman" w:cs="Times New Roman"/>
                <w:b/>
                <w:kern w:val="28"/>
                <w:sz w:val="24"/>
                <w:szCs w:val="24"/>
                <w:lang w:val="en-GB" w:eastAsia="lv-LV"/>
              </w:rPr>
              <w:t>Būvprojekta ekspertīze</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20.</w:t>
            </w:r>
          </w:p>
        </w:tc>
        <w:tc>
          <w:tcPr>
            <w:tcW w:w="2160"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Saskaņojumi būvprojektam</w:t>
            </w:r>
          </w:p>
        </w:tc>
        <w:tc>
          <w:tcPr>
            <w:tcW w:w="6095" w:type="dxa"/>
            <w:tcBorders>
              <w:top w:val="single" w:sz="4" w:space="0" w:color="000000"/>
              <w:left w:val="single" w:sz="4" w:space="0" w:color="000000"/>
              <w:bottom w:val="single" w:sz="4" w:space="0" w:color="000000"/>
              <w:right w:val="single" w:sz="4" w:space="0" w:color="000000"/>
            </w:tcBorders>
          </w:tcPr>
          <w:p w:rsidR="00211D89" w:rsidRPr="00211D89" w:rsidRDefault="00211D89" w:rsidP="00211D89">
            <w:pPr>
              <w:widowControl w:val="0"/>
              <w:numPr>
                <w:ilvl w:val="0"/>
                <w:numId w:val="2"/>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ar visiem projektā skarto esošo ārējo inženierkomunikāciju īpašniekiem;</w:t>
            </w:r>
          </w:p>
          <w:p w:rsidR="00211D89" w:rsidRPr="00211D89" w:rsidRDefault="00211D89" w:rsidP="00211D89">
            <w:pPr>
              <w:widowControl w:val="0"/>
              <w:numPr>
                <w:ilvl w:val="0"/>
                <w:numId w:val="2"/>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ar Pasūtītāju;</w:t>
            </w:r>
          </w:p>
          <w:p w:rsidR="00211D89" w:rsidRPr="00211D89" w:rsidRDefault="00211D89" w:rsidP="00211D89">
            <w:pPr>
              <w:widowControl w:val="0"/>
              <w:numPr>
                <w:ilvl w:val="0"/>
                <w:numId w:val="2"/>
              </w:numPr>
              <w:suppressAutoHyphens/>
              <w:overflowPunct w:val="0"/>
              <w:autoSpaceDE w:val="0"/>
              <w:autoSpaceDN w:val="0"/>
              <w:adjustRightInd w:val="0"/>
              <w:snapToGrid w:val="0"/>
              <w:spacing w:after="0" w:line="240" w:lineRule="auto"/>
              <w:rPr>
                <w:rFonts w:ascii="Times New Roman" w:eastAsia="Times New Roman" w:hAnsi="Times New Roman" w:cs="Times New Roman"/>
                <w:bCs/>
                <w:kern w:val="28"/>
                <w:sz w:val="24"/>
                <w:szCs w:val="24"/>
                <w:lang w:val="en-GB" w:eastAsia="lv-LV"/>
              </w:rPr>
            </w:pPr>
            <w:r w:rsidRPr="00211D89">
              <w:rPr>
                <w:rFonts w:ascii="Times New Roman" w:eastAsia="Times New Roman" w:hAnsi="Times New Roman" w:cs="Times New Roman"/>
                <w:bCs/>
                <w:kern w:val="28"/>
                <w:sz w:val="24"/>
                <w:szCs w:val="24"/>
                <w:lang w:val="en-GB" w:eastAsia="lv-LV"/>
              </w:rPr>
              <w:t>Kandavas novada Būvvaldes akcepts.</w:t>
            </w:r>
          </w:p>
        </w:tc>
      </w:tr>
      <w:tr w:rsidR="00211D89" w:rsidRPr="00211D89" w:rsidTr="00AE272F">
        <w:tc>
          <w:tcPr>
            <w:tcW w:w="675"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lastRenderedPageBreak/>
              <w:t>21.</w:t>
            </w:r>
          </w:p>
        </w:tc>
        <w:tc>
          <w:tcPr>
            <w:tcW w:w="2160" w:type="dxa"/>
            <w:tcBorders>
              <w:top w:val="single" w:sz="4" w:space="0" w:color="000000"/>
              <w:left w:val="single" w:sz="4" w:space="0" w:color="000000"/>
              <w:bottom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Izpildītājs iesniedz Pasūtītājam</w:t>
            </w:r>
          </w:p>
        </w:tc>
        <w:tc>
          <w:tcPr>
            <w:tcW w:w="6095" w:type="dxa"/>
            <w:tcBorders>
              <w:top w:val="single" w:sz="4" w:space="0" w:color="000000"/>
              <w:left w:val="single" w:sz="4" w:space="0" w:color="000000"/>
              <w:bottom w:val="single" w:sz="4" w:space="0" w:color="000000"/>
              <w:right w:val="single" w:sz="4" w:space="0" w:color="000000"/>
            </w:tcBorders>
          </w:tcPr>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Būvprojekta minimālā sastāva 4 eksemplāru oriģinālus un elektronisko formātu.</w:t>
            </w:r>
          </w:p>
          <w:p w:rsidR="00211D89" w:rsidRPr="00211D89" w:rsidRDefault="00211D89" w:rsidP="00211D89">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Būvprojekta izdrukātus un Kandavas novada Būvvaldē akceptētus </w:t>
            </w:r>
            <w:proofErr w:type="gramStart"/>
            <w:r w:rsidRPr="00211D89">
              <w:rPr>
                <w:rFonts w:ascii="Times New Roman" w:eastAsia="Times New Roman" w:hAnsi="Times New Roman" w:cs="Times New Roman"/>
                <w:kern w:val="28"/>
                <w:sz w:val="24"/>
                <w:szCs w:val="24"/>
                <w:lang w:val="en-GB" w:eastAsia="lv-LV"/>
              </w:rPr>
              <w:t>7  eksemplāru</w:t>
            </w:r>
            <w:proofErr w:type="gramEnd"/>
            <w:r w:rsidRPr="00211D89">
              <w:rPr>
                <w:rFonts w:ascii="Times New Roman" w:eastAsia="Times New Roman" w:hAnsi="Times New Roman" w:cs="Times New Roman"/>
                <w:kern w:val="28"/>
                <w:sz w:val="24"/>
                <w:szCs w:val="24"/>
                <w:lang w:val="en-GB" w:eastAsia="lv-LV"/>
              </w:rPr>
              <w:t xml:space="preserve"> komplektus (oriģināli). </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Papildus iesniegt visu būvprojektu elektroniskā </w:t>
            </w:r>
            <w:proofErr w:type="gramStart"/>
            <w:r w:rsidRPr="00211D89">
              <w:rPr>
                <w:rFonts w:ascii="Times New Roman" w:eastAsia="Times New Roman" w:hAnsi="Times New Roman" w:cs="Times New Roman"/>
                <w:kern w:val="28"/>
                <w:sz w:val="24"/>
                <w:szCs w:val="24"/>
                <w:lang w:val="en-GB" w:eastAsia="lv-LV"/>
              </w:rPr>
              <w:t>formātā  -</w:t>
            </w:r>
            <w:proofErr w:type="gramEnd"/>
            <w:r w:rsidRPr="00211D89">
              <w:rPr>
                <w:rFonts w:ascii="Times New Roman" w:eastAsia="Times New Roman" w:hAnsi="Times New Roman" w:cs="Times New Roman"/>
                <w:kern w:val="28"/>
                <w:sz w:val="24"/>
                <w:szCs w:val="24"/>
                <w:lang w:val="en-GB" w:eastAsia="lv-LV"/>
              </w:rPr>
              <w:t xml:space="preserve">  vektordatu formā, LKS 92 koordinātu sistēmā, LAS 2000,5 augstuma atskaitē *dwg. un *PDF formātā, teksta daļa iesniedzama MS Word, MS Excel programmā.</w:t>
            </w:r>
          </w:p>
        </w:tc>
      </w:tr>
    </w:tbl>
    <w:p w:rsidR="00211D89" w:rsidRPr="00211D89" w:rsidRDefault="00211D89" w:rsidP="00211D89">
      <w:pPr>
        <w:widowControl w:val="0"/>
        <w:overflowPunct w:val="0"/>
        <w:autoSpaceDE w:val="0"/>
        <w:autoSpaceDN w:val="0"/>
        <w:adjustRightInd w:val="0"/>
        <w:spacing w:after="0" w:line="240" w:lineRule="auto"/>
        <w:ind w:left="1080"/>
        <w:jc w:val="center"/>
        <w:rPr>
          <w:rFonts w:ascii="Times New Roman" w:eastAsia="Times New Roman" w:hAnsi="Times New Roman" w:cs="Times New Roman"/>
          <w:b/>
          <w:kern w:val="28"/>
          <w:sz w:val="24"/>
          <w:szCs w:val="24"/>
          <w:lang w:val="en-GB" w:eastAsia="lv-LV"/>
        </w:rPr>
      </w:pPr>
    </w:p>
    <w:p w:rsidR="00211D89" w:rsidRPr="00211D89" w:rsidRDefault="00211D89" w:rsidP="00211D8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en-GB" w:eastAsia="lv-LV"/>
        </w:rPr>
      </w:pPr>
      <w:r w:rsidRPr="00211D89">
        <w:rPr>
          <w:rFonts w:ascii="Times New Roman" w:eastAsia="Times New Roman" w:hAnsi="Times New Roman" w:cs="Times New Roman"/>
          <w:b/>
          <w:kern w:val="28"/>
          <w:sz w:val="24"/>
          <w:szCs w:val="24"/>
          <w:lang w:val="en-GB" w:eastAsia="lv-LV"/>
        </w:rPr>
        <w:t>3.AUTORUZRAUDZĪBA</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3.1. Pretendentam jāveic autoruzraudzība atbilstoši Būvniecības likuma un Ministru kabineta 2014.gada </w:t>
      </w:r>
      <w:proofErr w:type="gramStart"/>
      <w:r w:rsidRPr="00211D89">
        <w:rPr>
          <w:rFonts w:ascii="Times New Roman" w:eastAsia="Times New Roman" w:hAnsi="Times New Roman" w:cs="Times New Roman"/>
          <w:kern w:val="28"/>
          <w:sz w:val="24"/>
          <w:szCs w:val="24"/>
          <w:lang w:val="en-GB" w:eastAsia="lv-LV"/>
        </w:rPr>
        <w:t>19.augusta</w:t>
      </w:r>
      <w:proofErr w:type="gramEnd"/>
      <w:r w:rsidRPr="00211D89">
        <w:rPr>
          <w:rFonts w:ascii="Times New Roman" w:eastAsia="Times New Roman" w:hAnsi="Times New Roman" w:cs="Times New Roman"/>
          <w:kern w:val="28"/>
          <w:sz w:val="24"/>
          <w:szCs w:val="24"/>
          <w:lang w:val="en-GB" w:eastAsia="lv-LV"/>
        </w:rPr>
        <w:t xml:space="preserve"> noteikumu Nr.500 „Vispārīgie būvnoteikumi” prasībām un 10.pielikumam.</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 xml:space="preserve">3.2. Autoruzraudzības pakalpojums jāveic līdz objekts tiek pieņemts ekspluatācijā (visu pušu parakstīts akts par objekta pieņemšanu ekspluatācijā). </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3.3. Autoruzraudzības plāns – apsekot objektu ne mazāk kā vienu reizi nedēļā un piedalīties visās būvsapulcēs būvdarbu laikā, iepriekš saskaņojot ar Pasūtītāju laiku un vietu. Autoruzraugam jāierodas objektos pēc Pasūtītāja, būvuzrauga vai būvdarbu vadītāja pieprasījuma.</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3.4. Autoruzraudzības kārtībā projekta autors precizē neskaidros jautājumus un nepieciešamības gadījumā sagatavo papildus risinājumus, lai varētu veiksmīgi izpildīt projekta darbus.</w:t>
      </w:r>
    </w:p>
    <w:p w:rsidR="00211D89" w:rsidRPr="00211D89" w:rsidRDefault="00211D89" w:rsidP="00211D8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r w:rsidRPr="00211D89">
        <w:rPr>
          <w:rFonts w:ascii="Times New Roman" w:eastAsia="Times New Roman" w:hAnsi="Times New Roman" w:cs="Times New Roman"/>
          <w:kern w:val="28"/>
          <w:sz w:val="24"/>
          <w:szCs w:val="24"/>
          <w:lang w:val="en-GB" w:eastAsia="lv-LV"/>
        </w:rPr>
        <w:t>3.5. Autoruzraudzības kārtībā veiktās izmaiņas nedrīkst sadārdzināt objekta būvizmaksas, ja vien Pasūtītājs iepriekš nav akceptējis šādas izmaiņas. Izmaiņas, kas samazina būvizmaksas, ir iepriekš jāsaskaņo ar Pasūtītāju un būvuzraugu. Autoruzraudzības kārtībā veiktās izmaiņas nedrīkst nekādā veidā ietekmēt objektā izbūvējamo konstrukciju, tehnoloģiju un iekārtu kvalitāti, pagarināt darbu izpildes laiku, kā arī ietekmēt objekta ekspluatācijas drošību un ērtību.</w:t>
      </w:r>
    </w:p>
    <w:p w:rsidR="00211D89" w:rsidRPr="00211D89" w:rsidRDefault="00211D89" w:rsidP="00211D89">
      <w:pPr>
        <w:spacing w:after="0" w:line="240" w:lineRule="auto"/>
        <w:jc w:val="both"/>
        <w:rPr>
          <w:rFonts w:ascii="Times New Roman" w:eastAsia="Times New Roman" w:hAnsi="Times New Roman" w:cs="Times New Roman"/>
          <w:b/>
          <w:bCs/>
          <w:kern w:val="28"/>
          <w:sz w:val="24"/>
          <w:szCs w:val="24"/>
          <w:lang w:eastAsia="lv-LV"/>
        </w:rPr>
      </w:pPr>
      <w:r w:rsidRPr="00211D89">
        <w:rPr>
          <w:rFonts w:ascii="Times New Roman" w:eastAsia="Times New Roman" w:hAnsi="Times New Roman" w:cs="Times New Roman"/>
          <w:kern w:val="28"/>
          <w:sz w:val="24"/>
          <w:szCs w:val="24"/>
          <w:lang w:val="en-GB" w:eastAsia="lv-LV"/>
        </w:rPr>
        <w:t>3.6. Jebkuri risinājumi un izmaiņas, kas izdoti autoruzraudzības kārtībā, nedrīkst paaugstināt ēkas ekspluatācijas izmaksas.</w:t>
      </w:r>
    </w:p>
    <w:p w:rsidR="00211D89" w:rsidRPr="00211D89" w:rsidRDefault="00211D89" w:rsidP="00211D89">
      <w:pPr>
        <w:spacing w:after="200" w:line="276" w:lineRule="auto"/>
        <w:rPr>
          <w:rFonts w:ascii="Times New Roman" w:eastAsia="Times New Roman" w:hAnsi="Times New Roman" w:cs="Times New Roman"/>
          <w:b/>
          <w:bCs/>
          <w:kern w:val="28"/>
          <w:sz w:val="24"/>
          <w:szCs w:val="24"/>
          <w:lang w:eastAsia="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11D89" w:rsidRPr="00211D89" w:rsidTr="00AE272F">
        <w:trPr>
          <w:trHeight w:val="390"/>
        </w:trPr>
        <w:tc>
          <w:tcPr>
            <w:tcW w:w="3671"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kern w:val="28"/>
                <w:sz w:val="24"/>
                <w:szCs w:val="24"/>
                <w:lang w:eastAsia="lv-LV"/>
              </w:rPr>
            </w:pPr>
            <w:r w:rsidRPr="00211D89">
              <w:rPr>
                <w:rFonts w:ascii="Times New Roman" w:eastAsia="Times New Roman" w:hAnsi="Times New Roman" w:cs="Times New Roman"/>
                <w:b/>
                <w:kern w:val="28"/>
                <w:sz w:val="24"/>
                <w:szCs w:val="24"/>
                <w:lang w:eastAsia="lv-LV"/>
              </w:rPr>
              <w:t>Pretendenta nosaukums*:</w:t>
            </w:r>
          </w:p>
        </w:tc>
        <w:tc>
          <w:tcPr>
            <w:tcW w:w="4024"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kern w:val="28"/>
                <w:sz w:val="24"/>
                <w:szCs w:val="24"/>
                <w:lang w:eastAsia="lv-LV"/>
              </w:rPr>
            </w:pPr>
          </w:p>
        </w:tc>
      </w:tr>
      <w:tr w:rsidR="00211D89" w:rsidRPr="00211D89" w:rsidTr="00AE272F">
        <w:trPr>
          <w:trHeight w:val="390"/>
        </w:trPr>
        <w:tc>
          <w:tcPr>
            <w:tcW w:w="3671"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kern w:val="28"/>
                <w:sz w:val="24"/>
                <w:szCs w:val="24"/>
                <w:lang w:eastAsia="lv-LV"/>
              </w:rPr>
            </w:pPr>
            <w:r w:rsidRPr="00211D89">
              <w:rPr>
                <w:rFonts w:ascii="Times New Roman" w:eastAsia="Times New Roman" w:hAnsi="Times New Roman" w:cs="Times New Roman"/>
                <w:b/>
                <w:kern w:val="28"/>
                <w:sz w:val="24"/>
                <w:szCs w:val="24"/>
                <w:lang w:eastAsia="lv-LV"/>
              </w:rPr>
              <w:t>Amatpersonas vārds, uzvārds*:</w:t>
            </w:r>
          </w:p>
        </w:tc>
        <w:tc>
          <w:tcPr>
            <w:tcW w:w="4024"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kern w:val="28"/>
                <w:sz w:val="24"/>
                <w:szCs w:val="24"/>
                <w:lang w:eastAsia="lv-LV"/>
              </w:rPr>
            </w:pPr>
          </w:p>
        </w:tc>
      </w:tr>
      <w:tr w:rsidR="00211D89" w:rsidRPr="00211D89" w:rsidTr="00AE272F">
        <w:trPr>
          <w:trHeight w:val="390"/>
        </w:trPr>
        <w:tc>
          <w:tcPr>
            <w:tcW w:w="3671"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kern w:val="28"/>
                <w:sz w:val="24"/>
                <w:szCs w:val="24"/>
                <w:lang w:eastAsia="lv-LV"/>
              </w:rPr>
            </w:pPr>
            <w:r w:rsidRPr="00211D89">
              <w:rPr>
                <w:rFonts w:ascii="Times New Roman" w:eastAsia="Times New Roman" w:hAnsi="Times New Roman" w:cs="Times New Roman"/>
                <w:b/>
                <w:kern w:val="28"/>
                <w:sz w:val="24"/>
                <w:szCs w:val="24"/>
                <w:lang w:eastAsia="lv-LV"/>
              </w:rPr>
              <w:t>Ieņemamā amata nosaukums*:</w:t>
            </w:r>
          </w:p>
        </w:tc>
        <w:tc>
          <w:tcPr>
            <w:tcW w:w="4024"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kern w:val="28"/>
                <w:sz w:val="24"/>
                <w:szCs w:val="24"/>
                <w:lang w:eastAsia="lv-LV"/>
              </w:rPr>
            </w:pPr>
          </w:p>
        </w:tc>
      </w:tr>
      <w:tr w:rsidR="00211D89" w:rsidRPr="00211D89" w:rsidTr="00AE272F">
        <w:trPr>
          <w:trHeight w:val="567"/>
        </w:trPr>
        <w:tc>
          <w:tcPr>
            <w:tcW w:w="3671"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kern w:val="28"/>
                <w:sz w:val="24"/>
                <w:szCs w:val="24"/>
                <w:lang w:eastAsia="lv-LV"/>
              </w:rPr>
            </w:pPr>
            <w:r w:rsidRPr="00211D89">
              <w:rPr>
                <w:rFonts w:ascii="Times New Roman" w:eastAsia="Times New Roman" w:hAnsi="Times New Roman" w:cs="Times New Roman"/>
                <w:b/>
                <w:kern w:val="28"/>
                <w:sz w:val="24"/>
                <w:szCs w:val="24"/>
                <w:lang w:eastAsia="lv-LV"/>
              </w:rPr>
              <w:t>Amatpersonas paraksts*:</w:t>
            </w:r>
          </w:p>
        </w:tc>
        <w:tc>
          <w:tcPr>
            <w:tcW w:w="4024" w:type="dxa"/>
            <w:vAlign w:val="center"/>
          </w:tcPr>
          <w:p w:rsidR="00211D89" w:rsidRPr="00211D89" w:rsidRDefault="00211D89" w:rsidP="00211D89">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kern w:val="28"/>
                <w:sz w:val="24"/>
                <w:szCs w:val="24"/>
                <w:lang w:eastAsia="lv-LV"/>
              </w:rPr>
            </w:pPr>
          </w:p>
        </w:tc>
      </w:tr>
    </w:tbl>
    <w:p w:rsidR="00211D89" w:rsidRPr="00211D89" w:rsidRDefault="00211D89" w:rsidP="00211D89">
      <w:pPr>
        <w:spacing w:after="0" w:line="240" w:lineRule="auto"/>
        <w:ind w:right="29"/>
        <w:jc w:val="right"/>
        <w:rPr>
          <w:rFonts w:ascii="Times New Roman" w:eastAsia="Times New Roman" w:hAnsi="Times New Roman" w:cs="Times New Roman"/>
          <w:sz w:val="20"/>
          <w:szCs w:val="20"/>
        </w:rPr>
      </w:pPr>
    </w:p>
    <w:p w:rsidR="00211D89" w:rsidRPr="00211D89" w:rsidRDefault="00211D89" w:rsidP="00211D89">
      <w:pPr>
        <w:spacing w:after="0" w:line="240" w:lineRule="auto"/>
        <w:ind w:right="29"/>
        <w:jc w:val="right"/>
        <w:rPr>
          <w:rFonts w:ascii="Times New Roman" w:eastAsia="Times New Roman" w:hAnsi="Times New Roman" w:cs="Times New Roman"/>
          <w:sz w:val="20"/>
          <w:szCs w:val="20"/>
        </w:rPr>
      </w:pPr>
    </w:p>
    <w:p w:rsidR="00211D89" w:rsidRPr="00211D89" w:rsidRDefault="00211D89" w:rsidP="00211D89">
      <w:pPr>
        <w:spacing w:after="0" w:line="240" w:lineRule="auto"/>
        <w:ind w:right="29"/>
        <w:jc w:val="right"/>
        <w:rPr>
          <w:rFonts w:ascii="Times New Roman" w:eastAsia="Times New Roman" w:hAnsi="Times New Roman" w:cs="Times New Roman"/>
          <w:sz w:val="20"/>
          <w:szCs w:val="20"/>
        </w:rPr>
      </w:pPr>
    </w:p>
    <w:p w:rsidR="00807CD7" w:rsidRDefault="00211D89">
      <w:bookmarkStart w:id="0" w:name="_GoBack"/>
      <w:bookmarkEnd w:id="0"/>
    </w:p>
    <w:sectPr w:rsidR="00807C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F59"/>
    <w:multiLevelType w:val="multilevel"/>
    <w:tmpl w:val="0ECE4688"/>
    <w:lvl w:ilvl="0">
      <w:start w:val="1"/>
      <w:numFmt w:val="decimal"/>
      <w:lvlText w:val="1.%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B503B6C"/>
    <w:multiLevelType w:val="hybridMultilevel"/>
    <w:tmpl w:val="D8D63D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E399B"/>
    <w:multiLevelType w:val="multilevel"/>
    <w:tmpl w:val="66507340"/>
    <w:lvl w:ilvl="0">
      <w:start w:val="1"/>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59797B"/>
    <w:multiLevelType w:val="hybridMultilevel"/>
    <w:tmpl w:val="B3F67C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5FC0E2C"/>
    <w:multiLevelType w:val="hybridMultilevel"/>
    <w:tmpl w:val="C7A82A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89"/>
    <w:rsid w:val="00211D89"/>
    <w:rsid w:val="005D2A54"/>
    <w:rsid w:val="00637BB9"/>
    <w:rsid w:val="00D05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C7FFA-12E4-489E-BD14-B0C1D3C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7428</Words>
  <Characters>4235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Valda Stova</cp:lastModifiedBy>
  <cp:revision>1</cp:revision>
  <dcterms:created xsi:type="dcterms:W3CDTF">2017-09-20T13:28:00Z</dcterms:created>
  <dcterms:modified xsi:type="dcterms:W3CDTF">2017-09-20T13:29:00Z</dcterms:modified>
</cp:coreProperties>
</file>