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ED" w:rsidRPr="00CD773A" w:rsidRDefault="008C5016" w:rsidP="008807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AE0844" w:rsidRPr="00AE0844">
        <w:rPr>
          <w:rFonts w:ascii="Times New Roman" w:eastAsia="Calibri" w:hAnsi="Times New Roman" w:cs="Times New Roman"/>
          <w:i/>
          <w:sz w:val="20"/>
          <w:szCs w:val="20"/>
        </w:rPr>
        <w:t>Pielikums</w:t>
      </w:r>
      <w:r w:rsidR="00AE084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>Kandavas</w:t>
      </w:r>
      <w:r w:rsidR="00CD773A" w:rsidRPr="00CD773A">
        <w:rPr>
          <w:rFonts w:ascii="Times New Roman" w:eastAsia="Calibri" w:hAnsi="Times New Roman" w:cs="Times New Roman"/>
          <w:i/>
          <w:sz w:val="20"/>
          <w:szCs w:val="20"/>
        </w:rPr>
        <w:t xml:space="preserve"> novada domes </w:t>
      </w:r>
    </w:p>
    <w:p w:rsidR="00CD773A" w:rsidRPr="00CD773A" w:rsidRDefault="00CD773A" w:rsidP="00CD77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D77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ab/>
        <w:t>saistošajiem noteikumiem Nr.1 “2017.gada pamatbudžets un speciālais budžets”</w:t>
      </w:r>
    </w:p>
    <w:p w:rsidR="008807ED" w:rsidRPr="00CD773A" w:rsidRDefault="00CD773A" w:rsidP="00CD77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D773A">
        <w:rPr>
          <w:rFonts w:ascii="Times New Roman" w:eastAsia="Calibri" w:hAnsi="Times New Roman" w:cs="Times New Roman"/>
          <w:i/>
          <w:sz w:val="20"/>
          <w:szCs w:val="20"/>
        </w:rPr>
        <w:t xml:space="preserve"> (protokols </w:t>
      </w:r>
      <w:r w:rsidR="008807ED" w:rsidRPr="00CD773A">
        <w:rPr>
          <w:rFonts w:ascii="Times New Roman" w:eastAsia="Calibri" w:hAnsi="Times New Roman" w:cs="Times New Roman"/>
          <w:i/>
          <w:sz w:val="20"/>
          <w:szCs w:val="20"/>
        </w:rPr>
        <w:t>Nr.</w:t>
      </w:r>
      <w:r w:rsidR="008C5016" w:rsidRPr="00CD773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8C5016" w:rsidRPr="00CD773A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Pr="00CD773A">
        <w:rPr>
          <w:rFonts w:ascii="Times New Roman" w:eastAsia="Calibri" w:hAnsi="Times New Roman" w:cs="Times New Roman"/>
          <w:i/>
          <w:sz w:val="20"/>
          <w:szCs w:val="20"/>
        </w:rPr>
        <w:t>3.§</w:t>
      </w:r>
      <w:r w:rsidR="008807ED" w:rsidRPr="00CD773A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</w:p>
    <w:p w:rsidR="008807ED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07ED" w:rsidRPr="00564DE2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07ED" w:rsidRPr="00E51FB8" w:rsidRDefault="008C5016" w:rsidP="00880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Kandavas </w:t>
      </w:r>
      <w:r w:rsidR="008807ED" w:rsidRPr="00E51FB8">
        <w:rPr>
          <w:rFonts w:ascii="Times New Roman" w:eastAsia="Calibri" w:hAnsi="Times New Roman" w:cs="Times New Roman"/>
          <w:b/>
          <w:sz w:val="24"/>
          <w:szCs w:val="24"/>
        </w:rPr>
        <w:t>novada pašvaldības 201</w:t>
      </w:r>
      <w:r w:rsidR="00432B6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807ED" w:rsidRPr="00E51FB8">
        <w:rPr>
          <w:rFonts w:ascii="Times New Roman" w:eastAsia="Calibri" w:hAnsi="Times New Roman" w:cs="Times New Roman"/>
          <w:b/>
          <w:sz w:val="24"/>
          <w:szCs w:val="24"/>
        </w:rPr>
        <w:t xml:space="preserve">.gada budžeta </w:t>
      </w:r>
      <w:r w:rsidR="008807ED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8807ED" w:rsidRPr="00E51FB8">
        <w:rPr>
          <w:rFonts w:ascii="Times New Roman" w:eastAsia="Calibri" w:hAnsi="Times New Roman" w:cs="Times New Roman"/>
          <w:b/>
          <w:sz w:val="24"/>
          <w:szCs w:val="24"/>
        </w:rPr>
        <w:t>askaidrojuma raksts</w:t>
      </w:r>
    </w:p>
    <w:p w:rsidR="008807ED" w:rsidRPr="00E51FB8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C40" w:rsidRPr="008A6C40" w:rsidRDefault="008807ED" w:rsidP="008A6C4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C40">
        <w:rPr>
          <w:rFonts w:ascii="Times New Roman" w:eastAsia="Calibri" w:hAnsi="Times New Roman" w:cs="Times New Roman"/>
          <w:i/>
          <w:sz w:val="24"/>
          <w:szCs w:val="24"/>
        </w:rPr>
        <w:t xml:space="preserve">Novada ekonomiskā un sociālā situācija, pašvaldības </w:t>
      </w:r>
      <w:r w:rsidR="00BE3FCE" w:rsidRPr="008A6C40">
        <w:rPr>
          <w:rFonts w:ascii="Times New Roman" w:eastAsia="Calibri" w:hAnsi="Times New Roman" w:cs="Times New Roman"/>
          <w:i/>
          <w:sz w:val="24"/>
          <w:szCs w:val="24"/>
        </w:rPr>
        <w:t>uzdevumi saimnieciskajā gadā</w:t>
      </w:r>
      <w:r w:rsidRPr="008A6C4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B3269" w:rsidRPr="008A6C40" w:rsidRDefault="006B3269" w:rsidP="008A6C40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C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B3269" w:rsidRDefault="008C5016" w:rsidP="006B326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Kandavas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novada pašvaldības 201</w:t>
      </w:r>
      <w:r w:rsidR="00432B62">
        <w:rPr>
          <w:rFonts w:ascii="Times New Roman" w:eastAsia="Calibri" w:hAnsi="Times New Roman" w:cs="Times New Roman"/>
          <w:sz w:val="24"/>
          <w:szCs w:val="24"/>
        </w:rPr>
        <w:t>7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.gada budžets izstrādāts, ievērojot likumā „Par pašvaldību budžetiem”, likumā „Par pašvaldībām”, likumā „Par budžetu un finanšu vadību”,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likumā „Par valsts budžetu 201</w:t>
      </w:r>
      <w:r w:rsidR="00432B62">
        <w:rPr>
          <w:rFonts w:ascii="Times New Roman" w:eastAsia="Calibri" w:hAnsi="Times New Roman" w:cs="Times New Roman"/>
          <w:sz w:val="24"/>
          <w:szCs w:val="24"/>
        </w:rPr>
        <w:t>7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.gadam”, kā arī nodokļu likumos, Ministru kabineta noteikumos un citos normatīvajos aktos </w:t>
      </w:r>
      <w:r>
        <w:rPr>
          <w:rFonts w:ascii="Times New Roman" w:eastAsia="Calibri" w:hAnsi="Times New Roman" w:cs="Times New Roman"/>
          <w:sz w:val="24"/>
          <w:szCs w:val="24"/>
        </w:rPr>
        <w:t>noteiktās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prasības.</w:t>
      </w:r>
      <w:r w:rsidR="00DF74D3" w:rsidRPr="007409FA">
        <w:rPr>
          <w:sz w:val="24"/>
          <w:szCs w:val="24"/>
        </w:rPr>
        <w:t xml:space="preserve">   </w:t>
      </w:r>
    </w:p>
    <w:p w:rsidR="008807ED" w:rsidRPr="006B3269" w:rsidRDefault="008807ED" w:rsidP="006B32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Budžets izstrādāts</w:t>
      </w:r>
      <w:r w:rsidR="00DF74D3">
        <w:rPr>
          <w:rFonts w:ascii="Times New Roman" w:eastAsia="Calibri" w:hAnsi="Times New Roman" w:cs="Times New Roman"/>
          <w:sz w:val="24"/>
          <w:szCs w:val="24"/>
        </w:rPr>
        <w:t xml:space="preserve"> Latvijas Republikas naudas vienībā - </w:t>
      </w:r>
      <w:proofErr w:type="spellStart"/>
      <w:r w:rsidR="00A6534C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07ED" w:rsidRPr="00E51FB8" w:rsidRDefault="008807ED" w:rsidP="006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Deputātu vērtējumam ir iesniegts sabalansēts 201</w:t>
      </w:r>
      <w:r w:rsidR="00432B62">
        <w:rPr>
          <w:rFonts w:ascii="Times New Roman" w:eastAsia="Calibri" w:hAnsi="Times New Roman" w:cs="Times New Roman"/>
          <w:sz w:val="24"/>
          <w:szCs w:val="24"/>
        </w:rPr>
        <w:t>7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DF74D3">
        <w:rPr>
          <w:rFonts w:ascii="Times New Roman" w:eastAsia="Calibri" w:hAnsi="Times New Roman" w:cs="Times New Roman"/>
          <w:sz w:val="24"/>
          <w:szCs w:val="24"/>
        </w:rPr>
        <w:t>Kandavas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novada pašvaldības budžets. Tas ir dokuments, kurš atspoguļo pašvaldības politiku un prioritātes skaitliskā izteiksmē. </w:t>
      </w:r>
      <w:r w:rsidR="00DF74D3">
        <w:rPr>
          <w:rFonts w:ascii="Times New Roman" w:eastAsia="Calibri" w:hAnsi="Times New Roman" w:cs="Times New Roman"/>
          <w:sz w:val="24"/>
          <w:szCs w:val="24"/>
        </w:rPr>
        <w:t>Kandavas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novada pašvaldības 201</w:t>
      </w:r>
      <w:r w:rsidR="00432B62">
        <w:rPr>
          <w:rFonts w:ascii="Times New Roman" w:eastAsia="Calibri" w:hAnsi="Times New Roman" w:cs="Times New Roman"/>
          <w:sz w:val="24"/>
          <w:szCs w:val="24"/>
        </w:rPr>
        <w:t>7</w:t>
      </w:r>
      <w:r w:rsidRPr="00E51FB8">
        <w:rPr>
          <w:rFonts w:ascii="Times New Roman" w:eastAsia="Calibri" w:hAnsi="Times New Roman" w:cs="Times New Roman"/>
          <w:sz w:val="24"/>
          <w:szCs w:val="24"/>
        </w:rPr>
        <w:t>.gada budžeta ieņēmumu noteikšanas pamatprincipi paredz piesardzīgu vērtējumu par ekonomis</w:t>
      </w:r>
      <w:r w:rsidR="00BC103B">
        <w:rPr>
          <w:rFonts w:ascii="Times New Roman" w:eastAsia="Calibri" w:hAnsi="Times New Roman" w:cs="Times New Roman"/>
          <w:sz w:val="24"/>
          <w:szCs w:val="24"/>
        </w:rPr>
        <w:t>kās situācijas attīstību. Kandavas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novada pašvaldības budžets sastāv no pamatbudžeta</w:t>
      </w:r>
      <w:r w:rsidR="00BC103B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speciālā budžeta</w:t>
      </w:r>
      <w:r w:rsidR="00BC103B">
        <w:rPr>
          <w:rFonts w:ascii="Times New Roman" w:eastAsia="Calibri" w:hAnsi="Times New Roman" w:cs="Times New Roman"/>
          <w:sz w:val="24"/>
          <w:szCs w:val="24"/>
        </w:rPr>
        <w:t>.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Speciālo budžetu veido Autoceļa fonda ieņēmum</w:t>
      </w:r>
      <w:r w:rsidR="00BC103B">
        <w:rPr>
          <w:rFonts w:ascii="Times New Roman" w:eastAsia="Calibri" w:hAnsi="Times New Roman" w:cs="Times New Roman"/>
          <w:sz w:val="24"/>
          <w:szCs w:val="24"/>
        </w:rPr>
        <w:t>i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un dabas resursa nodokļa ieņēmumi (pašvaldības daļa).</w:t>
      </w:r>
    </w:p>
    <w:p w:rsidR="008807ED" w:rsidRDefault="008807ED" w:rsidP="006B32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201</w:t>
      </w:r>
      <w:r w:rsidR="00432B62">
        <w:rPr>
          <w:rFonts w:ascii="Times New Roman" w:eastAsia="Calibri" w:hAnsi="Times New Roman" w:cs="Times New Roman"/>
          <w:sz w:val="24"/>
          <w:szCs w:val="24"/>
        </w:rPr>
        <w:t>7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.gadā novada infrastruktūras un ekonomiskā attīstība ir plānota, īstenojot </w:t>
      </w:r>
      <w:r w:rsidRPr="00A6534C">
        <w:rPr>
          <w:rFonts w:ascii="Times New Roman" w:eastAsia="Calibri" w:hAnsi="Times New Roman" w:cs="Times New Roman"/>
          <w:sz w:val="24"/>
          <w:szCs w:val="24"/>
        </w:rPr>
        <w:t>Eiropas Savienības finansētos projektus,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03B">
        <w:rPr>
          <w:rFonts w:ascii="Times New Roman" w:eastAsia="Calibri" w:hAnsi="Times New Roman" w:cs="Times New Roman"/>
          <w:sz w:val="24"/>
          <w:szCs w:val="24"/>
        </w:rPr>
        <w:t>nosakot budžeta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finansējumu mērķmaksājumiem un noteiktu objektu rekonstrukcijai un būvniecībai ar budžeta un aizņēmuma līdzekļiem.</w:t>
      </w:r>
    </w:p>
    <w:p w:rsidR="001C449A" w:rsidRDefault="00247B58" w:rsidP="00786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Kandavas novada domes pamatbudžeta galvenās ieņēmumu pozīcijas ir iedzīvotāju ienākuma nodoklis un </w:t>
      </w:r>
      <w:r w:rsidRPr="006B3269">
        <w:rPr>
          <w:rFonts w:ascii="Times New Roman" w:eastAsia="Calibri" w:hAnsi="Times New Roman" w:cs="Times New Roman"/>
          <w:sz w:val="24"/>
          <w:szCs w:val="24"/>
        </w:rPr>
        <w:t>dotācija no pašvaldību finanšu izlīdzināšanas fonda</w:t>
      </w:r>
      <w:r w:rsidR="00BE3FCE">
        <w:rPr>
          <w:rFonts w:ascii="Times New Roman" w:eastAsia="Calibri" w:hAnsi="Times New Roman" w:cs="Times New Roman"/>
          <w:sz w:val="24"/>
          <w:szCs w:val="24"/>
        </w:rPr>
        <w:t>. Kopsummā šie i</w:t>
      </w:r>
      <w:r>
        <w:rPr>
          <w:rFonts w:ascii="Times New Roman" w:eastAsia="Calibri" w:hAnsi="Times New Roman" w:cs="Times New Roman"/>
          <w:sz w:val="24"/>
          <w:szCs w:val="24"/>
        </w:rPr>
        <w:t>eņēmumi 201</w:t>
      </w:r>
      <w:r w:rsidR="00432B6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.gadā ir plānoti 5</w:t>
      </w:r>
      <w:r w:rsidR="007867E3">
        <w:rPr>
          <w:rFonts w:ascii="Times New Roman" w:eastAsia="Calibri" w:hAnsi="Times New Roman" w:cs="Times New Roman"/>
          <w:sz w:val="24"/>
          <w:szCs w:val="24"/>
        </w:rPr>
        <w:t> 367 459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7B5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salīdzinot ar 201</w:t>
      </w:r>
      <w:r w:rsidR="007867E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.gadu (</w:t>
      </w:r>
      <w:r w:rsidR="00786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867E3">
        <w:rPr>
          <w:rFonts w:ascii="Times New Roman" w:eastAsia="Calibri" w:hAnsi="Times New Roman" w:cs="Times New Roman"/>
          <w:sz w:val="24"/>
          <w:szCs w:val="24"/>
        </w:rPr>
        <w:t> 094 282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7B5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7867E3">
        <w:rPr>
          <w:rFonts w:ascii="Times New Roman" w:eastAsia="Calibri" w:hAnsi="Times New Roman" w:cs="Times New Roman"/>
          <w:sz w:val="24"/>
          <w:szCs w:val="24"/>
        </w:rPr>
        <w:t>)</w:t>
      </w:r>
      <w:r w:rsidR="001C449A">
        <w:rPr>
          <w:rFonts w:ascii="Times New Roman" w:eastAsia="Calibri" w:hAnsi="Times New Roman" w:cs="Times New Roman"/>
          <w:sz w:val="24"/>
          <w:szCs w:val="24"/>
        </w:rPr>
        <w:t>, palielinājums</w:t>
      </w:r>
      <w:r w:rsidR="008A6C4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867E3">
        <w:rPr>
          <w:rFonts w:ascii="Times New Roman" w:eastAsia="Calibri" w:hAnsi="Times New Roman" w:cs="Times New Roman"/>
          <w:sz w:val="24"/>
          <w:szCs w:val="24"/>
        </w:rPr>
        <w:t>273 177</w:t>
      </w:r>
      <w:r w:rsidR="00BE3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3FCE" w:rsidRPr="00BE3FC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BE3FC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869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>Kā prioritāte</w:t>
      </w:r>
      <w:r w:rsidR="00BE3FCE" w:rsidRPr="001C449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867E3" w:rsidRPr="001C449A">
        <w:rPr>
          <w:rFonts w:ascii="Times New Roman" w:eastAsia="Calibri" w:hAnsi="Times New Roman" w:cs="Times New Roman"/>
          <w:sz w:val="24"/>
          <w:szCs w:val="24"/>
        </w:rPr>
        <w:t>7</w:t>
      </w:r>
      <w:r w:rsidR="00BE3FCE" w:rsidRPr="001C449A">
        <w:rPr>
          <w:rFonts w:ascii="Times New Roman" w:eastAsia="Calibri" w:hAnsi="Times New Roman" w:cs="Times New Roman"/>
          <w:sz w:val="24"/>
          <w:szCs w:val="24"/>
        </w:rPr>
        <w:t>.gadā ir noteikta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 xml:space="preserve"> izglītība: plānot</w:t>
      </w:r>
      <w:r w:rsidR="008A6C40">
        <w:rPr>
          <w:rFonts w:ascii="Times New Roman" w:eastAsia="Calibri" w:hAnsi="Times New Roman" w:cs="Times New Roman"/>
          <w:sz w:val="24"/>
          <w:szCs w:val="24"/>
        </w:rPr>
        <w:t>a</w:t>
      </w:r>
      <w:r w:rsidR="00BE3FCE" w:rsidRPr="001C449A">
        <w:rPr>
          <w:rFonts w:ascii="Times New Roman" w:eastAsia="Calibri" w:hAnsi="Times New Roman" w:cs="Times New Roman"/>
          <w:sz w:val="24"/>
          <w:szCs w:val="24"/>
        </w:rPr>
        <w:t xml:space="preserve"> Kandavas</w:t>
      </w:r>
      <w:r w:rsidR="00F507CF" w:rsidRPr="001C449A">
        <w:rPr>
          <w:rFonts w:ascii="Times New Roman" w:eastAsia="Calibri" w:hAnsi="Times New Roman" w:cs="Times New Roman"/>
          <w:sz w:val="24"/>
          <w:szCs w:val="24"/>
        </w:rPr>
        <w:t xml:space="preserve"> mākslas un</w:t>
      </w:r>
      <w:r w:rsidR="00BE3FCE" w:rsidRPr="001C449A">
        <w:rPr>
          <w:rFonts w:ascii="Times New Roman" w:eastAsia="Calibri" w:hAnsi="Times New Roman" w:cs="Times New Roman"/>
          <w:sz w:val="24"/>
          <w:szCs w:val="24"/>
        </w:rPr>
        <w:t xml:space="preserve"> mūzikas skolas </w:t>
      </w:r>
      <w:r w:rsidR="00F507CF" w:rsidRPr="001C449A">
        <w:rPr>
          <w:rFonts w:ascii="Times New Roman" w:eastAsia="Calibri" w:hAnsi="Times New Roman" w:cs="Times New Roman"/>
          <w:sz w:val="24"/>
          <w:szCs w:val="24"/>
        </w:rPr>
        <w:t>telpu pārbūve</w:t>
      </w:r>
      <w:r w:rsidR="00BE3FCE" w:rsidRPr="001C449A">
        <w:rPr>
          <w:rFonts w:ascii="Times New Roman" w:eastAsia="Calibri" w:hAnsi="Times New Roman" w:cs="Times New Roman"/>
          <w:sz w:val="24"/>
          <w:szCs w:val="24"/>
        </w:rPr>
        <w:t xml:space="preserve"> Sabiles ielā 12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E3FCE" w:rsidRPr="001C449A">
        <w:rPr>
          <w:rFonts w:ascii="Times New Roman" w:eastAsia="Calibri" w:hAnsi="Times New Roman" w:cs="Times New Roman"/>
          <w:sz w:val="24"/>
          <w:szCs w:val="24"/>
        </w:rPr>
        <w:t xml:space="preserve"> kopējās izmaksas sastāda 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>1 355 950</w:t>
      </w:r>
      <w:r w:rsidR="0090140B" w:rsidRPr="001C4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140B" w:rsidRPr="001C449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C449A" w:rsidRPr="001C449A">
        <w:rPr>
          <w:rFonts w:ascii="Times New Roman" w:eastAsia="Calibri" w:hAnsi="Times New Roman" w:cs="Times New Roman"/>
          <w:sz w:val="24"/>
          <w:szCs w:val="24"/>
        </w:rPr>
        <w:t>; sanitāro mezglu remonts</w:t>
      </w:r>
      <w:r w:rsidR="001C449A" w:rsidRPr="001C44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 xml:space="preserve">Vānes pamatskolā (15 000 </w:t>
      </w:r>
      <w:proofErr w:type="spellStart"/>
      <w:r w:rsidR="001C449A" w:rsidRPr="001C449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C449A" w:rsidRPr="001C44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>aizņēmuma līdzekļi)</w:t>
      </w:r>
      <w:r w:rsidR="0000050C">
        <w:rPr>
          <w:rFonts w:ascii="Times New Roman" w:eastAsia="Calibri" w:hAnsi="Times New Roman" w:cs="Times New Roman"/>
          <w:sz w:val="24"/>
          <w:szCs w:val="24"/>
        </w:rPr>
        <w:t>,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 xml:space="preserve"> Kandavas </w:t>
      </w:r>
      <w:proofErr w:type="spellStart"/>
      <w:r w:rsidR="001C449A" w:rsidRPr="001C449A">
        <w:rPr>
          <w:rFonts w:ascii="Times New Roman" w:eastAsia="Calibri" w:hAnsi="Times New Roman" w:cs="Times New Roman"/>
          <w:sz w:val="24"/>
          <w:szCs w:val="24"/>
        </w:rPr>
        <w:t>K.Mīlenbaha</w:t>
      </w:r>
      <w:proofErr w:type="spellEnd"/>
      <w:r w:rsidR="001C449A" w:rsidRPr="001C449A">
        <w:rPr>
          <w:rFonts w:ascii="Times New Roman" w:eastAsia="Calibri" w:hAnsi="Times New Roman" w:cs="Times New Roman"/>
          <w:sz w:val="24"/>
          <w:szCs w:val="24"/>
        </w:rPr>
        <w:t xml:space="preserve"> vidusskolā</w:t>
      </w:r>
      <w:r w:rsidR="0000050C">
        <w:rPr>
          <w:rFonts w:ascii="Times New Roman" w:eastAsia="Calibri" w:hAnsi="Times New Roman" w:cs="Times New Roman"/>
          <w:sz w:val="24"/>
          <w:szCs w:val="24"/>
        </w:rPr>
        <w:t xml:space="preserve"> kāpņu un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50C" w:rsidRPr="001C449A">
        <w:rPr>
          <w:rFonts w:ascii="Times New Roman" w:eastAsia="Calibri" w:hAnsi="Times New Roman" w:cs="Times New Roman"/>
          <w:sz w:val="24"/>
          <w:szCs w:val="24"/>
        </w:rPr>
        <w:t>sanitāro mezglu remonts</w:t>
      </w:r>
      <w:r w:rsidR="0000050C" w:rsidRPr="001C44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0050C">
        <w:rPr>
          <w:rFonts w:ascii="Times New Roman" w:eastAsia="Calibri" w:hAnsi="Times New Roman" w:cs="Times New Roman"/>
          <w:sz w:val="24"/>
          <w:szCs w:val="24"/>
        </w:rPr>
        <w:t>(30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 xml:space="preserve"> 000 </w:t>
      </w:r>
      <w:proofErr w:type="spellStart"/>
      <w:r w:rsidR="001C449A" w:rsidRPr="001C449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C449A" w:rsidRPr="001C44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C449A" w:rsidRPr="001C449A">
        <w:rPr>
          <w:rFonts w:ascii="Times New Roman" w:eastAsia="Calibri" w:hAnsi="Times New Roman" w:cs="Times New Roman"/>
          <w:sz w:val="24"/>
          <w:szCs w:val="24"/>
        </w:rPr>
        <w:t>aizņēmuma līdzekļi); apkures</w:t>
      </w:r>
      <w:r w:rsidR="001C449A">
        <w:rPr>
          <w:rFonts w:ascii="Times New Roman" w:eastAsia="Calibri" w:hAnsi="Times New Roman" w:cs="Times New Roman"/>
          <w:sz w:val="24"/>
          <w:szCs w:val="24"/>
        </w:rPr>
        <w:t xml:space="preserve"> sistēmas rekonstrukcija Cēres sporta hallē (15 000 </w:t>
      </w:r>
      <w:proofErr w:type="spellStart"/>
      <w:r w:rsidR="001C449A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C449A" w:rsidRPr="00DD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49A">
        <w:rPr>
          <w:rFonts w:ascii="Times New Roman" w:eastAsia="Calibri" w:hAnsi="Times New Roman" w:cs="Times New Roman"/>
          <w:sz w:val="24"/>
          <w:szCs w:val="24"/>
        </w:rPr>
        <w:t>aizņēmuma līdzekļi)</w:t>
      </w:r>
      <w:r w:rsidR="001C449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8807ED" w:rsidRDefault="001C449A" w:rsidP="00A111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1CF">
        <w:rPr>
          <w:rFonts w:ascii="Times New Roman" w:eastAsia="Calibri" w:hAnsi="Times New Roman" w:cs="Times New Roman"/>
          <w:sz w:val="24"/>
          <w:szCs w:val="24"/>
        </w:rPr>
        <w:t>L</w:t>
      </w:r>
      <w:r w:rsidR="00F507CF" w:rsidRPr="00A111CF">
        <w:rPr>
          <w:rFonts w:ascii="Times New Roman" w:eastAsia="Calibri" w:hAnsi="Times New Roman" w:cs="Times New Roman"/>
          <w:sz w:val="24"/>
          <w:szCs w:val="24"/>
        </w:rPr>
        <w:t xml:space="preserve">ai sabalansētu budžetu, </w:t>
      </w:r>
      <w:r w:rsidR="00A111CF">
        <w:rPr>
          <w:rFonts w:ascii="Times New Roman" w:eastAsia="Calibri" w:hAnsi="Times New Roman" w:cs="Times New Roman"/>
          <w:sz w:val="24"/>
          <w:szCs w:val="24"/>
        </w:rPr>
        <w:t>tiek plānots ņemt aizdevumus Valsts kasē par kopējo summu 3 15</w:t>
      </w:r>
      <w:r w:rsidR="009628C0">
        <w:rPr>
          <w:rFonts w:ascii="Times New Roman" w:eastAsia="Calibri" w:hAnsi="Times New Roman" w:cs="Times New Roman"/>
          <w:sz w:val="24"/>
          <w:szCs w:val="24"/>
        </w:rPr>
        <w:t>9</w:t>
      </w:r>
      <w:r w:rsidR="00A111CF">
        <w:rPr>
          <w:rFonts w:ascii="Times New Roman" w:eastAsia="Calibri" w:hAnsi="Times New Roman" w:cs="Times New Roman"/>
          <w:sz w:val="24"/>
          <w:szCs w:val="24"/>
        </w:rPr>
        <w:t xml:space="preserve"> 726 </w:t>
      </w:r>
      <w:proofErr w:type="spellStart"/>
      <w:r w:rsidR="00A111CF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111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111CF">
        <w:rPr>
          <w:rFonts w:ascii="Times New Roman" w:eastAsia="Calibri" w:hAnsi="Times New Roman" w:cs="Times New Roman"/>
          <w:sz w:val="24"/>
          <w:szCs w:val="24"/>
        </w:rPr>
        <w:t xml:space="preserve">( 2016.gadā – 738 095 </w:t>
      </w:r>
      <w:proofErr w:type="spellStart"/>
      <w:r w:rsidR="00A111CF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111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111C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11CF" w:rsidRPr="00A111CF" w:rsidRDefault="00A111CF" w:rsidP="00A111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Default="00BC103B" w:rsidP="009D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Kandavas</w:t>
      </w:r>
      <w:r w:rsidR="008807ED" w:rsidRPr="00E51FB8">
        <w:rPr>
          <w:rFonts w:ascii="Times New Roman" w:eastAsia="Calibri" w:hAnsi="Times New Roman" w:cs="Times New Roman"/>
          <w:b/>
          <w:sz w:val="24"/>
          <w:szCs w:val="24"/>
        </w:rPr>
        <w:t xml:space="preserve"> novada pašvaldības pamatbudžets</w:t>
      </w:r>
    </w:p>
    <w:p w:rsidR="00D81772" w:rsidRPr="00E51FB8" w:rsidRDefault="00D81772" w:rsidP="009D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7ED" w:rsidRPr="00E51FB8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FB8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1FB8">
        <w:rPr>
          <w:rFonts w:ascii="Times New Roman" w:eastAsia="Calibri" w:hAnsi="Times New Roman" w:cs="Times New Roman"/>
          <w:b/>
          <w:sz w:val="24"/>
          <w:szCs w:val="24"/>
        </w:rPr>
        <w:t>Ieņēmumi</w:t>
      </w:r>
    </w:p>
    <w:p w:rsidR="008807ED" w:rsidRPr="00E51FB8" w:rsidRDefault="00BC103B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Kandavas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novada pašvaldības 201</w:t>
      </w:r>
      <w:r w:rsidR="007867E3">
        <w:rPr>
          <w:rFonts w:ascii="Times New Roman" w:eastAsia="Calibri" w:hAnsi="Times New Roman" w:cs="Times New Roman"/>
          <w:sz w:val="24"/>
          <w:szCs w:val="24"/>
        </w:rPr>
        <w:t>7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.gada ieņēm</w:t>
      </w:r>
      <w:r>
        <w:rPr>
          <w:rFonts w:ascii="Times New Roman" w:eastAsia="Calibri" w:hAnsi="Times New Roman" w:cs="Times New Roman"/>
          <w:sz w:val="24"/>
          <w:szCs w:val="24"/>
        </w:rPr>
        <w:t>um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i ir plānoti </w:t>
      </w:r>
      <w:r w:rsidR="007867E3">
        <w:rPr>
          <w:rFonts w:ascii="Times New Roman" w:eastAsia="Calibri" w:hAnsi="Times New Roman" w:cs="Times New Roman"/>
          <w:sz w:val="24"/>
          <w:szCs w:val="24"/>
        </w:rPr>
        <w:t>8 9</w:t>
      </w:r>
      <w:r w:rsidR="009628C0">
        <w:rPr>
          <w:rFonts w:ascii="Times New Roman" w:eastAsia="Calibri" w:hAnsi="Times New Roman" w:cs="Times New Roman"/>
          <w:sz w:val="24"/>
          <w:szCs w:val="24"/>
        </w:rPr>
        <w:t>41</w:t>
      </w:r>
      <w:r w:rsidR="007867E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9628C0">
        <w:rPr>
          <w:rFonts w:ascii="Times New Roman" w:eastAsia="Calibri" w:hAnsi="Times New Roman" w:cs="Times New Roman"/>
          <w:sz w:val="24"/>
          <w:szCs w:val="24"/>
        </w:rPr>
        <w:t>68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114B0">
        <w:rPr>
          <w:rFonts w:ascii="Times New Roman" w:eastAsia="Calibri" w:hAnsi="Times New Roman" w:cs="Times New Roman"/>
          <w:sz w:val="24"/>
          <w:szCs w:val="24"/>
        </w:rPr>
        <w:t xml:space="preserve">. Plānotie ieņēmumi ir par </w:t>
      </w:r>
      <w:r w:rsidR="007867E3">
        <w:rPr>
          <w:rFonts w:ascii="Times New Roman" w:eastAsia="Calibri" w:hAnsi="Times New Roman" w:cs="Times New Roman"/>
          <w:sz w:val="24"/>
          <w:szCs w:val="24"/>
        </w:rPr>
        <w:t>5.</w:t>
      </w:r>
      <w:r w:rsidR="009628C0">
        <w:rPr>
          <w:rFonts w:ascii="Times New Roman" w:eastAsia="Calibri" w:hAnsi="Times New Roman" w:cs="Times New Roman"/>
          <w:sz w:val="24"/>
          <w:szCs w:val="24"/>
        </w:rPr>
        <w:t>2</w:t>
      </w:r>
      <w:r w:rsidR="00811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3B5">
        <w:rPr>
          <w:rFonts w:ascii="Times New Roman" w:eastAsia="Calibri" w:hAnsi="Times New Roman" w:cs="Times New Roman"/>
          <w:sz w:val="24"/>
          <w:szCs w:val="24"/>
        </w:rPr>
        <w:t>% vairāk kā 201</w:t>
      </w:r>
      <w:r w:rsidR="007867E3">
        <w:rPr>
          <w:rFonts w:ascii="Times New Roman" w:eastAsia="Calibri" w:hAnsi="Times New Roman" w:cs="Times New Roman"/>
          <w:sz w:val="24"/>
          <w:szCs w:val="24"/>
        </w:rPr>
        <w:t>6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.gadā sākotnēji plānotie (</w:t>
      </w:r>
      <w:r w:rsidR="008114B0">
        <w:rPr>
          <w:rFonts w:ascii="Times New Roman" w:eastAsia="Calibri" w:hAnsi="Times New Roman" w:cs="Times New Roman"/>
          <w:sz w:val="24"/>
          <w:szCs w:val="24"/>
        </w:rPr>
        <w:t>8</w:t>
      </w:r>
      <w:r w:rsidR="007867E3">
        <w:rPr>
          <w:rFonts w:ascii="Times New Roman" w:eastAsia="Calibri" w:hAnsi="Times New Roman" w:cs="Times New Roman"/>
          <w:sz w:val="24"/>
          <w:szCs w:val="24"/>
        </w:rPr>
        <w:t> 496 154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A6C40">
        <w:rPr>
          <w:rFonts w:ascii="Times New Roman" w:eastAsia="Calibri" w:hAnsi="Times New Roman" w:cs="Times New Roman"/>
          <w:sz w:val="24"/>
          <w:szCs w:val="24"/>
        </w:rPr>
        <w:t>). Pašvaldības pamatbudžeta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ieņēmumus veido nodokļu un </w:t>
      </w:r>
      <w:proofErr w:type="spellStart"/>
      <w:r w:rsidR="008807ED" w:rsidRPr="00E51FB8">
        <w:rPr>
          <w:rFonts w:ascii="Times New Roman" w:eastAsia="Calibri" w:hAnsi="Times New Roman" w:cs="Times New Roman"/>
          <w:sz w:val="24"/>
          <w:szCs w:val="24"/>
        </w:rPr>
        <w:t>nenodokļu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ieņēmumi, maksas pakalpojumi un citi pašu ieņēmumi, valsts mērķdotācijas un citu budžetu </w:t>
      </w:r>
      <w:proofErr w:type="spellStart"/>
      <w:r w:rsidR="008807ED" w:rsidRPr="00E51FB8">
        <w:rPr>
          <w:rFonts w:ascii="Times New Roman" w:eastAsia="Calibri" w:hAnsi="Times New Roman" w:cs="Times New Roman"/>
          <w:sz w:val="24"/>
          <w:szCs w:val="24"/>
        </w:rPr>
        <w:t>transferti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07ED" w:rsidRPr="00E51FB8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Nodokļu ieņēmumi ir galvenais pašvaldības ieņēmumu avots. Lielākais īpatsvars nodokļu ieņēmumos ir iedzīvot</w:t>
      </w:r>
      <w:r w:rsidR="008114B0">
        <w:rPr>
          <w:rFonts w:ascii="Times New Roman" w:eastAsia="Calibri" w:hAnsi="Times New Roman" w:cs="Times New Roman"/>
          <w:sz w:val="24"/>
          <w:szCs w:val="24"/>
        </w:rPr>
        <w:t>āju ienākuma nodoklis 3</w:t>
      </w:r>
      <w:r w:rsidR="00D6477A">
        <w:rPr>
          <w:rFonts w:ascii="Times New Roman" w:eastAsia="Calibri" w:hAnsi="Times New Roman" w:cs="Times New Roman"/>
          <w:sz w:val="24"/>
          <w:szCs w:val="24"/>
        </w:rPr>
        <w:t> 703 650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114B0">
        <w:rPr>
          <w:rFonts w:ascii="Times New Roman" w:eastAsia="Calibri" w:hAnsi="Times New Roman" w:cs="Times New Roman"/>
          <w:sz w:val="24"/>
          <w:szCs w:val="24"/>
        </w:rPr>
        <w:t>4</w:t>
      </w:r>
      <w:r w:rsidR="00F83A5E">
        <w:rPr>
          <w:rFonts w:ascii="Times New Roman" w:eastAsia="Calibri" w:hAnsi="Times New Roman" w:cs="Times New Roman"/>
          <w:sz w:val="24"/>
          <w:szCs w:val="24"/>
        </w:rPr>
        <w:t>2</w:t>
      </w:r>
      <w:r w:rsidRPr="00E51FB8">
        <w:rPr>
          <w:rFonts w:ascii="Times New Roman" w:eastAsia="Calibri" w:hAnsi="Times New Roman" w:cs="Times New Roman"/>
          <w:sz w:val="24"/>
          <w:szCs w:val="24"/>
        </w:rPr>
        <w:t>%), salīdzinā</w:t>
      </w:r>
      <w:r w:rsidR="009723B5">
        <w:rPr>
          <w:rFonts w:ascii="Times New Roman" w:eastAsia="Calibri" w:hAnsi="Times New Roman" w:cs="Times New Roman"/>
          <w:sz w:val="24"/>
          <w:szCs w:val="24"/>
        </w:rPr>
        <w:t>jumā ar 201</w:t>
      </w:r>
      <w:r w:rsidR="00D6477A">
        <w:rPr>
          <w:rFonts w:ascii="Times New Roman" w:eastAsia="Calibri" w:hAnsi="Times New Roman" w:cs="Times New Roman"/>
          <w:sz w:val="24"/>
          <w:szCs w:val="24"/>
        </w:rPr>
        <w:t>6.gadu pieaugums ir 9.5</w:t>
      </w:r>
      <w:r w:rsidRPr="00E51FB8">
        <w:rPr>
          <w:rFonts w:ascii="Times New Roman" w:eastAsia="Calibri" w:hAnsi="Times New Roman" w:cs="Times New Roman"/>
          <w:sz w:val="24"/>
          <w:szCs w:val="24"/>
        </w:rPr>
        <w:t>% (</w:t>
      </w:r>
      <w:r w:rsidR="007867E3">
        <w:rPr>
          <w:rFonts w:ascii="Times New Roman" w:eastAsia="Calibri" w:hAnsi="Times New Roman" w:cs="Times New Roman"/>
          <w:sz w:val="24"/>
          <w:szCs w:val="24"/>
        </w:rPr>
        <w:t>321 578</w:t>
      </w:r>
      <w:r w:rsidR="00A65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534C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A111CF">
        <w:rPr>
          <w:rFonts w:ascii="Times New Roman" w:eastAsia="Calibri" w:hAnsi="Times New Roman" w:cs="Times New Roman"/>
          <w:sz w:val="24"/>
          <w:szCs w:val="24"/>
        </w:rPr>
        <w:t>Iedzīvotāju ienākuma nodokļa prognoze ir noteikta, ka pašvaldību īpatsvars iedzīvotāju ienākuma nodokļa sadalē neti</w:t>
      </w:r>
      <w:r w:rsidR="009723B5" w:rsidRPr="00A111CF">
        <w:rPr>
          <w:rFonts w:ascii="Times New Roman" w:eastAsia="Calibri" w:hAnsi="Times New Roman" w:cs="Times New Roman"/>
          <w:sz w:val="24"/>
          <w:szCs w:val="24"/>
        </w:rPr>
        <w:t>ek mainīts salīdzinājumā ar 201</w:t>
      </w:r>
      <w:r w:rsidR="00D6477A" w:rsidRPr="00A111CF">
        <w:rPr>
          <w:rFonts w:ascii="Times New Roman" w:eastAsia="Calibri" w:hAnsi="Times New Roman" w:cs="Times New Roman"/>
          <w:sz w:val="24"/>
          <w:szCs w:val="24"/>
        </w:rPr>
        <w:t>6</w:t>
      </w:r>
      <w:r w:rsidRPr="00A111CF">
        <w:rPr>
          <w:rFonts w:ascii="Times New Roman" w:eastAsia="Calibri" w:hAnsi="Times New Roman" w:cs="Times New Roman"/>
          <w:sz w:val="24"/>
          <w:szCs w:val="24"/>
        </w:rPr>
        <w:t>.gadu – 80% pašvaldību budžetos un 20% valsts budžetā. Saskaņā ar nekustamā īpašuma nodokļa prognozi pašvaldības budžeta īpašum</w:t>
      </w:r>
      <w:r w:rsidR="00D6477A" w:rsidRPr="00A111CF">
        <w:rPr>
          <w:rFonts w:ascii="Times New Roman" w:eastAsia="Calibri" w:hAnsi="Times New Roman" w:cs="Times New Roman"/>
          <w:sz w:val="24"/>
          <w:szCs w:val="24"/>
        </w:rPr>
        <w:t>a nodokļa ieņēmumi pieaugs par 2</w:t>
      </w:r>
      <w:r w:rsidRPr="00A111CF">
        <w:rPr>
          <w:rFonts w:ascii="Times New Roman" w:eastAsia="Calibri" w:hAnsi="Times New Roman" w:cs="Times New Roman"/>
          <w:sz w:val="24"/>
          <w:szCs w:val="24"/>
        </w:rPr>
        <w:t xml:space="preserve"> % (</w:t>
      </w:r>
      <w:r w:rsidR="00D6477A" w:rsidRPr="00A111CF">
        <w:rPr>
          <w:rFonts w:ascii="Times New Roman" w:eastAsia="Calibri" w:hAnsi="Times New Roman" w:cs="Times New Roman"/>
          <w:sz w:val="24"/>
          <w:szCs w:val="24"/>
        </w:rPr>
        <w:t>11 336</w:t>
      </w:r>
      <w:r w:rsidRPr="00A11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11C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A111CF">
        <w:rPr>
          <w:rFonts w:ascii="Times New Roman" w:eastAsia="Calibri" w:hAnsi="Times New Roman" w:cs="Times New Roman"/>
          <w:sz w:val="24"/>
          <w:szCs w:val="24"/>
        </w:rPr>
        <w:t>). Parādus par nekustamā īpašuma nodo</w:t>
      </w:r>
      <w:r w:rsidR="008114B0" w:rsidRPr="00A111CF">
        <w:rPr>
          <w:rFonts w:ascii="Times New Roman" w:eastAsia="Calibri" w:hAnsi="Times New Roman" w:cs="Times New Roman"/>
          <w:sz w:val="24"/>
          <w:szCs w:val="24"/>
        </w:rPr>
        <w:t xml:space="preserve">kli tiek plānots iekasēt </w:t>
      </w:r>
      <w:r w:rsidR="00A111CF" w:rsidRPr="00A111CF">
        <w:rPr>
          <w:rFonts w:ascii="Times New Roman" w:eastAsia="Calibri" w:hAnsi="Times New Roman" w:cs="Times New Roman"/>
          <w:sz w:val="24"/>
          <w:szCs w:val="24"/>
        </w:rPr>
        <w:t>47</w:t>
      </w:r>
      <w:r w:rsidR="008114B0" w:rsidRPr="00A111CF">
        <w:rPr>
          <w:rFonts w:ascii="Times New Roman" w:eastAsia="Calibri" w:hAnsi="Times New Roman" w:cs="Times New Roman"/>
          <w:sz w:val="24"/>
          <w:szCs w:val="24"/>
        </w:rPr>
        <w:t>%</w:t>
      </w:r>
      <w:r w:rsidR="00D6477A" w:rsidRPr="00A111CF">
        <w:rPr>
          <w:rFonts w:ascii="Times New Roman" w:eastAsia="Calibri" w:hAnsi="Times New Roman" w:cs="Times New Roman"/>
          <w:sz w:val="24"/>
          <w:szCs w:val="24"/>
        </w:rPr>
        <w:t xml:space="preserve"> (67</w:t>
      </w:r>
      <w:r w:rsidRPr="00A111CF">
        <w:rPr>
          <w:rFonts w:ascii="Times New Roman" w:eastAsia="Calibri" w:hAnsi="Times New Roman" w:cs="Times New Roman"/>
          <w:sz w:val="24"/>
          <w:szCs w:val="24"/>
        </w:rPr>
        <w:t>000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) no </w:t>
      </w:r>
      <w:r w:rsidRPr="00FB3D53">
        <w:rPr>
          <w:rFonts w:ascii="Times New Roman" w:eastAsia="Calibri" w:hAnsi="Times New Roman" w:cs="Times New Roman"/>
          <w:sz w:val="24"/>
          <w:szCs w:val="24"/>
        </w:rPr>
        <w:t>aprēķinātā parāda.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07ED" w:rsidRPr="00835044" w:rsidRDefault="008807ED" w:rsidP="008807ED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FB8">
        <w:rPr>
          <w:rFonts w:ascii="Times New Roman" w:eastAsia="Calibri" w:hAnsi="Times New Roman" w:cs="Times New Roman"/>
          <w:sz w:val="24"/>
          <w:szCs w:val="24"/>
        </w:rPr>
        <w:t>Nenodokļu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ieņēmumus 201</w:t>
      </w:r>
      <w:r w:rsidR="00EA6749">
        <w:rPr>
          <w:rFonts w:ascii="Times New Roman" w:eastAsia="Calibri" w:hAnsi="Times New Roman" w:cs="Times New Roman"/>
          <w:sz w:val="24"/>
          <w:szCs w:val="24"/>
        </w:rPr>
        <w:t>7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.gadā plānots iekasēt </w:t>
      </w:r>
      <w:r w:rsidR="004526B7">
        <w:rPr>
          <w:rFonts w:ascii="Times New Roman" w:eastAsia="Calibri" w:hAnsi="Times New Roman" w:cs="Times New Roman"/>
          <w:sz w:val="24"/>
          <w:szCs w:val="24"/>
        </w:rPr>
        <w:t>86 368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apmērā. Šos ieņēmumus veido procentu ieņēmumi no kontu atlikumiem, valsts un</w:t>
      </w:r>
      <w:r w:rsidR="00CE72E8">
        <w:rPr>
          <w:rFonts w:ascii="Times New Roman" w:eastAsia="Calibri" w:hAnsi="Times New Roman" w:cs="Times New Roman"/>
          <w:sz w:val="24"/>
          <w:szCs w:val="24"/>
        </w:rPr>
        <w:t xml:space="preserve"> pašvaldību nodevas, naudas sodi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E51FB8">
        <w:rPr>
          <w:rFonts w:ascii="Times New Roman" w:eastAsia="Calibri" w:hAnsi="Times New Roman" w:cs="Times New Roman"/>
          <w:sz w:val="24"/>
          <w:szCs w:val="24"/>
        </w:rPr>
        <w:lastRenderedPageBreak/>
        <w:t>sankcijas, kā arī ieņēmumi no īpašumu p</w:t>
      </w:r>
      <w:r w:rsidR="009723B5">
        <w:rPr>
          <w:rFonts w:ascii="Times New Roman" w:eastAsia="Calibri" w:hAnsi="Times New Roman" w:cs="Times New Roman"/>
          <w:sz w:val="24"/>
          <w:szCs w:val="24"/>
        </w:rPr>
        <w:t>ārdošanas. Salīdzinājumā ar 201</w:t>
      </w:r>
      <w:r w:rsidR="00EA6749">
        <w:rPr>
          <w:rFonts w:ascii="Times New Roman" w:eastAsia="Calibri" w:hAnsi="Times New Roman" w:cs="Times New Roman"/>
          <w:sz w:val="24"/>
          <w:szCs w:val="24"/>
        </w:rPr>
        <w:t>6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.gadu šeit ir plānots ieņēmumu </w:t>
      </w:r>
      <w:r w:rsidR="004526B7">
        <w:rPr>
          <w:rFonts w:ascii="Times New Roman" w:eastAsia="Calibri" w:hAnsi="Times New Roman" w:cs="Times New Roman"/>
          <w:sz w:val="24"/>
          <w:szCs w:val="24"/>
        </w:rPr>
        <w:t>palielinājums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par </w:t>
      </w:r>
      <w:r w:rsidR="004526B7">
        <w:rPr>
          <w:rFonts w:ascii="Times New Roman" w:eastAsia="Calibri" w:hAnsi="Times New Roman" w:cs="Times New Roman"/>
          <w:sz w:val="24"/>
          <w:szCs w:val="24"/>
        </w:rPr>
        <w:t>11 868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526B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35044">
        <w:rPr>
          <w:rFonts w:ascii="Times New Roman" w:eastAsia="Calibri" w:hAnsi="Times New Roman" w:cs="Times New Roman"/>
          <w:sz w:val="24"/>
          <w:szCs w:val="24"/>
        </w:rPr>
        <w:t>meža īpašumu</w:t>
      </w:r>
      <w:r w:rsidR="009723B5">
        <w:rPr>
          <w:rFonts w:ascii="Times New Roman" w:eastAsia="Calibri" w:hAnsi="Times New Roman" w:cs="Times New Roman"/>
          <w:sz w:val="24"/>
          <w:szCs w:val="24"/>
        </w:rPr>
        <w:t xml:space="preserve"> pārdošana</w:t>
      </w:r>
      <w:r w:rsidR="00835044">
        <w:rPr>
          <w:rFonts w:ascii="Times New Roman" w:eastAsia="Calibri" w:hAnsi="Times New Roman" w:cs="Times New Roman"/>
          <w:sz w:val="24"/>
          <w:szCs w:val="24"/>
        </w:rPr>
        <w:t xml:space="preserve"> un zemes atsavināšana</w:t>
      </w:r>
      <w:r w:rsidR="004526B7">
        <w:rPr>
          <w:rFonts w:ascii="Times New Roman" w:eastAsia="Calibri" w:hAnsi="Times New Roman" w:cs="Times New Roman"/>
          <w:sz w:val="24"/>
          <w:szCs w:val="24"/>
        </w:rPr>
        <w:t xml:space="preserve"> tiek plānota mazākā apjomā (-6500 </w:t>
      </w:r>
      <w:proofErr w:type="spellStart"/>
      <w:r w:rsidR="004526B7" w:rsidRPr="004526B7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526B7">
        <w:rPr>
          <w:rFonts w:ascii="Times New Roman" w:eastAsia="Calibri" w:hAnsi="Times New Roman" w:cs="Times New Roman"/>
          <w:sz w:val="24"/>
          <w:szCs w:val="24"/>
        </w:rPr>
        <w:t>), ieņēmumi no malkas pārdošanas 18</w:t>
      </w:r>
      <w:r w:rsidR="008D5ED5">
        <w:rPr>
          <w:rFonts w:ascii="Times New Roman" w:eastAsia="Calibri" w:hAnsi="Times New Roman" w:cs="Times New Roman"/>
          <w:sz w:val="24"/>
          <w:szCs w:val="24"/>
        </w:rPr>
        <w:t> </w:t>
      </w:r>
      <w:r w:rsidR="004526B7">
        <w:rPr>
          <w:rFonts w:ascii="Times New Roman" w:eastAsia="Calibri" w:hAnsi="Times New Roman" w:cs="Times New Roman"/>
          <w:sz w:val="24"/>
          <w:szCs w:val="24"/>
        </w:rPr>
        <w:t>368</w:t>
      </w:r>
      <w:r w:rsidR="008D5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5ED5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35044">
        <w:rPr>
          <w:rFonts w:ascii="Times New Roman" w:eastAsia="Calibri" w:hAnsi="Times New Roman" w:cs="Times New Roman"/>
          <w:sz w:val="24"/>
          <w:szCs w:val="24"/>
        </w:rPr>
        <w:t>. 201</w:t>
      </w:r>
      <w:r w:rsidR="004526B7">
        <w:rPr>
          <w:rFonts w:ascii="Times New Roman" w:eastAsia="Calibri" w:hAnsi="Times New Roman" w:cs="Times New Roman"/>
          <w:sz w:val="24"/>
          <w:szCs w:val="24"/>
        </w:rPr>
        <w:t>6</w:t>
      </w:r>
      <w:r w:rsidR="00835044">
        <w:rPr>
          <w:rFonts w:ascii="Times New Roman" w:eastAsia="Calibri" w:hAnsi="Times New Roman" w:cs="Times New Roman"/>
          <w:sz w:val="24"/>
          <w:szCs w:val="24"/>
        </w:rPr>
        <w:t>.gadā ieņēmumi no pašvaldības īpašuma pārdošanas bija plānoti</w:t>
      </w:r>
      <w:r w:rsidR="00D81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6B7">
        <w:rPr>
          <w:rFonts w:ascii="Times New Roman" w:eastAsia="Calibri" w:hAnsi="Times New Roman" w:cs="Times New Roman"/>
          <w:sz w:val="24"/>
          <w:szCs w:val="24"/>
        </w:rPr>
        <w:t>67300</w:t>
      </w:r>
      <w:r w:rsidR="008350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35044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3504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35044">
        <w:rPr>
          <w:rFonts w:ascii="Times New Roman" w:eastAsia="Calibri" w:hAnsi="Times New Roman" w:cs="Times New Roman"/>
          <w:sz w:val="24"/>
          <w:szCs w:val="24"/>
        </w:rPr>
        <w:t xml:space="preserve">šogad – </w:t>
      </w:r>
      <w:r w:rsidR="006B3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ED5">
        <w:rPr>
          <w:rFonts w:ascii="Times New Roman" w:eastAsia="Calibri" w:hAnsi="Times New Roman" w:cs="Times New Roman"/>
          <w:sz w:val="24"/>
          <w:szCs w:val="24"/>
        </w:rPr>
        <w:t>60 0</w:t>
      </w:r>
      <w:r w:rsidR="00835044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proofErr w:type="spellStart"/>
      <w:r w:rsidR="00835044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3504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8807ED" w:rsidRPr="00126E83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Ieņēmumi no maksas pakalpojumiem un citi pašu ieņēmumi plānoti </w:t>
      </w:r>
      <w:r w:rsidR="008D5ED5">
        <w:rPr>
          <w:rFonts w:ascii="Times New Roman" w:eastAsia="Calibri" w:hAnsi="Times New Roman" w:cs="Times New Roman"/>
          <w:sz w:val="24"/>
          <w:szCs w:val="24"/>
        </w:rPr>
        <w:t>288 317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>. Salīdzinājumā ar 201</w:t>
      </w:r>
      <w:r w:rsidR="008D5ED5">
        <w:rPr>
          <w:rFonts w:ascii="Times New Roman" w:eastAsia="Calibri" w:hAnsi="Times New Roman" w:cs="Times New Roman"/>
          <w:sz w:val="24"/>
          <w:szCs w:val="24"/>
        </w:rPr>
        <w:t>6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 gadu maksas pakalpojumi un citi pašu ieņēmumi ir </w:t>
      </w:r>
      <w:r w:rsidR="00835044">
        <w:rPr>
          <w:rFonts w:ascii="Times New Roman" w:eastAsia="Calibri" w:hAnsi="Times New Roman" w:cs="Times New Roman"/>
          <w:sz w:val="24"/>
          <w:szCs w:val="24"/>
        </w:rPr>
        <w:t>palielinājušies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par </w:t>
      </w:r>
      <w:r w:rsidR="00CD2AA3">
        <w:rPr>
          <w:rFonts w:ascii="Times New Roman" w:eastAsia="Calibri" w:hAnsi="Times New Roman" w:cs="Times New Roman"/>
          <w:sz w:val="24"/>
          <w:szCs w:val="24"/>
        </w:rPr>
        <w:t>30 892</w:t>
      </w:r>
      <w:r w:rsidR="00835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5044">
        <w:rPr>
          <w:rFonts w:ascii="Times New Roman" w:eastAsia="Calibri" w:hAnsi="Times New Roman" w:cs="Times New Roman"/>
          <w:sz w:val="24"/>
          <w:szCs w:val="24"/>
        </w:rPr>
        <w:t xml:space="preserve">galveno palielinājuma apmēru sastāda </w:t>
      </w:r>
      <w:r w:rsidR="009430A0">
        <w:rPr>
          <w:rFonts w:ascii="Times New Roman" w:eastAsia="Calibri" w:hAnsi="Times New Roman" w:cs="Times New Roman"/>
          <w:sz w:val="24"/>
          <w:szCs w:val="24"/>
        </w:rPr>
        <w:t xml:space="preserve">ieņēmumi par </w:t>
      </w:r>
      <w:r w:rsidR="00126E83">
        <w:rPr>
          <w:rFonts w:ascii="Times New Roman" w:eastAsia="Calibri" w:hAnsi="Times New Roman" w:cs="Times New Roman"/>
          <w:sz w:val="24"/>
          <w:szCs w:val="24"/>
        </w:rPr>
        <w:t xml:space="preserve">telpu nomu (5536 </w:t>
      </w:r>
      <w:proofErr w:type="spellStart"/>
      <w:r w:rsidR="00126E83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26E83" w:rsidRPr="00126E83">
        <w:rPr>
          <w:rFonts w:ascii="Times New Roman" w:eastAsia="Calibri" w:hAnsi="Times New Roman" w:cs="Times New Roman"/>
          <w:sz w:val="24"/>
          <w:szCs w:val="24"/>
        </w:rPr>
        <w:t>)</w:t>
      </w:r>
      <w:r w:rsidR="00126E83">
        <w:rPr>
          <w:rFonts w:ascii="Times New Roman" w:eastAsia="Calibri" w:hAnsi="Times New Roman" w:cs="Times New Roman"/>
          <w:sz w:val="24"/>
          <w:szCs w:val="24"/>
        </w:rPr>
        <w:t xml:space="preserve">, ieņēmumi par viesnīcu pakalpojumiem (7300 </w:t>
      </w:r>
      <w:proofErr w:type="spellStart"/>
      <w:r w:rsidR="00126E83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26E83">
        <w:rPr>
          <w:rFonts w:ascii="Times New Roman" w:eastAsia="Calibri" w:hAnsi="Times New Roman" w:cs="Times New Roman"/>
          <w:sz w:val="24"/>
          <w:szCs w:val="24"/>
        </w:rPr>
        <w:t xml:space="preserve">) un ieņēmumi par zemes nomu (20000 </w:t>
      </w:r>
      <w:proofErr w:type="spellStart"/>
      <w:r w:rsidR="00126E83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26E8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30A0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ab/>
        <w:t xml:space="preserve">Valsts budžeta </w:t>
      </w:r>
      <w:proofErr w:type="spellStart"/>
      <w:r w:rsidRPr="00E51FB8">
        <w:rPr>
          <w:rFonts w:ascii="Times New Roman" w:eastAsia="Calibri" w:hAnsi="Times New Roman" w:cs="Times New Roman"/>
          <w:sz w:val="24"/>
          <w:szCs w:val="24"/>
        </w:rPr>
        <w:t>transferti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D24">
        <w:rPr>
          <w:rFonts w:ascii="Times New Roman" w:eastAsia="Calibri" w:hAnsi="Times New Roman" w:cs="Times New Roman"/>
          <w:sz w:val="24"/>
          <w:szCs w:val="24"/>
        </w:rPr>
        <w:t>201</w:t>
      </w:r>
      <w:r w:rsidR="00126E83">
        <w:rPr>
          <w:rFonts w:ascii="Times New Roman" w:eastAsia="Calibri" w:hAnsi="Times New Roman" w:cs="Times New Roman"/>
          <w:sz w:val="24"/>
          <w:szCs w:val="24"/>
        </w:rPr>
        <w:t>7</w:t>
      </w:r>
      <w:r w:rsidR="00C25D24">
        <w:rPr>
          <w:rFonts w:ascii="Times New Roman" w:eastAsia="Calibri" w:hAnsi="Times New Roman" w:cs="Times New Roman"/>
          <w:sz w:val="24"/>
          <w:szCs w:val="24"/>
        </w:rPr>
        <w:t>.gadā plānoti 4</w:t>
      </w:r>
      <w:r w:rsidR="009628C0">
        <w:rPr>
          <w:rFonts w:ascii="Times New Roman" w:eastAsia="Calibri" w:hAnsi="Times New Roman" w:cs="Times New Roman"/>
          <w:sz w:val="24"/>
          <w:szCs w:val="24"/>
        </w:rPr>
        <w:t> </w:t>
      </w:r>
      <w:r w:rsidR="00126E83">
        <w:rPr>
          <w:rFonts w:ascii="Times New Roman" w:eastAsia="Calibri" w:hAnsi="Times New Roman" w:cs="Times New Roman"/>
          <w:sz w:val="24"/>
          <w:szCs w:val="24"/>
        </w:rPr>
        <w:t>1</w:t>
      </w:r>
      <w:r w:rsidR="009628C0">
        <w:rPr>
          <w:rFonts w:ascii="Times New Roman" w:eastAsia="Calibri" w:hAnsi="Times New Roman" w:cs="Times New Roman"/>
          <w:sz w:val="24"/>
          <w:szCs w:val="24"/>
        </w:rPr>
        <w:t>18 876</w:t>
      </w:r>
      <w:r w:rsidR="00C25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24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C25D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5D24">
        <w:rPr>
          <w:rFonts w:ascii="Times New Roman" w:eastAsia="Calibri" w:hAnsi="Times New Roman" w:cs="Times New Roman"/>
          <w:sz w:val="24"/>
          <w:szCs w:val="24"/>
        </w:rPr>
        <w:t>jeb 4</w:t>
      </w:r>
      <w:r w:rsidR="001B6CB5">
        <w:rPr>
          <w:rFonts w:ascii="Times New Roman" w:eastAsia="Calibri" w:hAnsi="Times New Roman" w:cs="Times New Roman"/>
          <w:sz w:val="24"/>
          <w:szCs w:val="24"/>
        </w:rPr>
        <w:t>6</w:t>
      </w:r>
      <w:r w:rsidR="00C25D24">
        <w:rPr>
          <w:rFonts w:ascii="Times New Roman" w:eastAsia="Calibri" w:hAnsi="Times New Roman" w:cs="Times New Roman"/>
          <w:sz w:val="24"/>
          <w:szCs w:val="24"/>
        </w:rPr>
        <w:t>% no kopējiem pašvaldības budžeta ieņēmumiem</w:t>
      </w:r>
      <w:r w:rsidR="00C25D2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C25D24" w:rsidRPr="00C25D24">
        <w:rPr>
          <w:rFonts w:ascii="Times New Roman" w:eastAsia="Calibri" w:hAnsi="Times New Roman" w:cs="Times New Roman"/>
          <w:sz w:val="24"/>
          <w:szCs w:val="24"/>
        </w:rPr>
        <w:t>no tiem</w:t>
      </w:r>
      <w:r w:rsidR="00C25D2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mērķdotācijas un dotācijas </w:t>
      </w:r>
      <w:r w:rsidR="009430A0">
        <w:rPr>
          <w:rFonts w:ascii="Times New Roman" w:eastAsia="Calibri" w:hAnsi="Times New Roman" w:cs="Times New Roman"/>
          <w:sz w:val="24"/>
          <w:szCs w:val="24"/>
        </w:rPr>
        <w:t xml:space="preserve">plānotas </w:t>
      </w:r>
      <w:r w:rsidR="001B6CB5">
        <w:rPr>
          <w:rFonts w:ascii="Times New Roman" w:eastAsia="Calibri" w:hAnsi="Times New Roman" w:cs="Times New Roman"/>
          <w:sz w:val="24"/>
          <w:szCs w:val="24"/>
        </w:rPr>
        <w:t>2</w:t>
      </w:r>
      <w:r w:rsidR="009628C0">
        <w:rPr>
          <w:rFonts w:ascii="Times New Roman" w:eastAsia="Calibri" w:hAnsi="Times New Roman" w:cs="Times New Roman"/>
          <w:sz w:val="24"/>
          <w:szCs w:val="24"/>
        </w:rPr>
        <w:t> 178 977</w:t>
      </w:r>
      <w:r w:rsidR="001B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6CB5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9430A0">
        <w:rPr>
          <w:rFonts w:ascii="Times New Roman" w:eastAsia="Calibri" w:hAnsi="Times New Roman" w:cs="Times New Roman"/>
          <w:sz w:val="24"/>
          <w:szCs w:val="24"/>
        </w:rPr>
        <w:t xml:space="preserve"> (24</w:t>
      </w:r>
      <w:r w:rsidR="001B6CB5">
        <w:rPr>
          <w:rFonts w:ascii="Times New Roman" w:eastAsia="Calibri" w:hAnsi="Times New Roman" w:cs="Times New Roman"/>
          <w:sz w:val="24"/>
          <w:szCs w:val="24"/>
        </w:rPr>
        <w:t>.</w:t>
      </w:r>
      <w:r w:rsidR="009628C0">
        <w:rPr>
          <w:rFonts w:ascii="Times New Roman" w:eastAsia="Calibri" w:hAnsi="Times New Roman" w:cs="Times New Roman"/>
          <w:sz w:val="24"/>
          <w:szCs w:val="24"/>
        </w:rPr>
        <w:t>4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% no ieņēmum</w:t>
      </w:r>
      <w:r w:rsidR="009430A0">
        <w:rPr>
          <w:rFonts w:ascii="Times New Roman" w:eastAsia="Calibri" w:hAnsi="Times New Roman" w:cs="Times New Roman"/>
          <w:sz w:val="24"/>
          <w:szCs w:val="24"/>
        </w:rPr>
        <w:t xml:space="preserve">iem). </w:t>
      </w:r>
      <w:proofErr w:type="spellStart"/>
      <w:r w:rsidR="009430A0">
        <w:rPr>
          <w:rFonts w:ascii="Times New Roman" w:eastAsia="Calibri" w:hAnsi="Times New Roman" w:cs="Times New Roman"/>
          <w:sz w:val="24"/>
          <w:szCs w:val="24"/>
        </w:rPr>
        <w:t>Transferti</w:t>
      </w:r>
      <w:proofErr w:type="spellEnd"/>
      <w:r w:rsidR="009430A0">
        <w:rPr>
          <w:rFonts w:ascii="Times New Roman" w:eastAsia="Calibri" w:hAnsi="Times New Roman" w:cs="Times New Roman"/>
          <w:sz w:val="24"/>
          <w:szCs w:val="24"/>
        </w:rPr>
        <w:t xml:space="preserve"> plānoti par</w:t>
      </w:r>
      <w:r w:rsidR="004652FE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9628C0">
        <w:rPr>
          <w:rFonts w:ascii="Times New Roman" w:eastAsia="Calibri" w:hAnsi="Times New Roman" w:cs="Times New Roman"/>
          <w:sz w:val="24"/>
          <w:szCs w:val="24"/>
        </w:rPr>
        <w:t>7</w:t>
      </w:r>
      <w:r w:rsidRPr="00E51FB8">
        <w:rPr>
          <w:rFonts w:ascii="Times New Roman" w:eastAsia="Calibri" w:hAnsi="Times New Roman" w:cs="Times New Roman"/>
          <w:sz w:val="24"/>
          <w:szCs w:val="24"/>
        </w:rPr>
        <w:t>% vairāk</w:t>
      </w:r>
      <w:r w:rsidR="00465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FB8">
        <w:rPr>
          <w:rFonts w:ascii="Times New Roman" w:eastAsia="Calibri" w:hAnsi="Times New Roman" w:cs="Times New Roman"/>
          <w:sz w:val="24"/>
          <w:szCs w:val="24"/>
        </w:rPr>
        <w:t>(</w:t>
      </w:r>
      <w:r w:rsidR="009628C0">
        <w:rPr>
          <w:rFonts w:ascii="Times New Roman" w:eastAsia="Calibri" w:hAnsi="Times New Roman" w:cs="Times New Roman"/>
          <w:sz w:val="24"/>
          <w:szCs w:val="24"/>
        </w:rPr>
        <w:t>111 860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8A6C40">
        <w:rPr>
          <w:rFonts w:ascii="Times New Roman" w:eastAsia="Calibri" w:hAnsi="Times New Roman" w:cs="Times New Roman"/>
          <w:sz w:val="24"/>
          <w:szCs w:val="24"/>
        </w:rPr>
        <w:t>Valst</w:t>
      </w:r>
      <w:r w:rsidR="009430A0" w:rsidRPr="008A6C40">
        <w:rPr>
          <w:rFonts w:ascii="Times New Roman" w:eastAsia="Calibri" w:hAnsi="Times New Roman" w:cs="Times New Roman"/>
          <w:sz w:val="24"/>
          <w:szCs w:val="24"/>
        </w:rPr>
        <w:t xml:space="preserve">s budžeta </w:t>
      </w:r>
      <w:proofErr w:type="spellStart"/>
      <w:r w:rsidR="009430A0" w:rsidRPr="008A6C40">
        <w:rPr>
          <w:rFonts w:ascii="Times New Roman" w:eastAsia="Calibri" w:hAnsi="Times New Roman" w:cs="Times New Roman"/>
          <w:sz w:val="24"/>
          <w:szCs w:val="24"/>
        </w:rPr>
        <w:t>transfertu</w:t>
      </w:r>
      <w:proofErr w:type="spellEnd"/>
      <w:r w:rsidR="009430A0" w:rsidRPr="008A6C40">
        <w:rPr>
          <w:rFonts w:ascii="Times New Roman" w:eastAsia="Calibri" w:hAnsi="Times New Roman" w:cs="Times New Roman"/>
          <w:sz w:val="24"/>
          <w:szCs w:val="24"/>
        </w:rPr>
        <w:t xml:space="preserve"> apjoms 201</w:t>
      </w:r>
      <w:r w:rsidR="004652FE" w:rsidRPr="008A6C40">
        <w:rPr>
          <w:rFonts w:ascii="Times New Roman" w:eastAsia="Calibri" w:hAnsi="Times New Roman" w:cs="Times New Roman"/>
          <w:sz w:val="24"/>
          <w:szCs w:val="24"/>
        </w:rPr>
        <w:t>7</w:t>
      </w:r>
      <w:r w:rsidRPr="008A6C40">
        <w:rPr>
          <w:rFonts w:ascii="Times New Roman" w:eastAsia="Calibri" w:hAnsi="Times New Roman" w:cs="Times New Roman"/>
          <w:sz w:val="24"/>
          <w:szCs w:val="24"/>
        </w:rPr>
        <w:t>.gadā ir plānots, ņemot vērā 201</w:t>
      </w:r>
      <w:r w:rsidR="004652FE" w:rsidRPr="008A6C40">
        <w:rPr>
          <w:rFonts w:ascii="Times New Roman" w:eastAsia="Calibri" w:hAnsi="Times New Roman" w:cs="Times New Roman"/>
          <w:sz w:val="24"/>
          <w:szCs w:val="24"/>
        </w:rPr>
        <w:t>7</w:t>
      </w:r>
      <w:r w:rsidRPr="008A6C40">
        <w:rPr>
          <w:rFonts w:ascii="Times New Roman" w:eastAsia="Calibri" w:hAnsi="Times New Roman" w:cs="Times New Roman"/>
          <w:sz w:val="24"/>
          <w:szCs w:val="24"/>
        </w:rPr>
        <w:t>.gada valsts budžetā paredzēto finansējumu, spēkā esošos normatīvos aktus</w:t>
      </w:r>
      <w:r w:rsidR="008A6C40">
        <w:rPr>
          <w:rFonts w:ascii="Times New Roman" w:eastAsia="Calibri" w:hAnsi="Times New Roman" w:cs="Times New Roman"/>
          <w:sz w:val="24"/>
          <w:szCs w:val="24"/>
        </w:rPr>
        <w:t>.</w:t>
      </w:r>
      <w:r w:rsidRPr="004652F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9723B5" w:rsidRDefault="009430A0" w:rsidP="006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Pašvaldību no valsts budžeta iestādēm saņemtie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transferti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Eiropas Savienības līdzfinansētiem projektiem 201</w:t>
      </w:r>
      <w:r w:rsidR="004652F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.gadā plānoti </w:t>
      </w:r>
      <w:r w:rsidR="004652FE">
        <w:rPr>
          <w:rFonts w:ascii="Times New Roman" w:eastAsia="Calibri" w:hAnsi="Times New Roman" w:cs="Times New Roman"/>
          <w:sz w:val="24"/>
          <w:szCs w:val="24"/>
        </w:rPr>
        <w:t>276 090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AF66B6">
        <w:rPr>
          <w:rFonts w:ascii="Times New Roman" w:eastAsia="Calibri" w:hAnsi="Times New Roman" w:cs="Times New Roman"/>
          <w:sz w:val="24"/>
          <w:szCs w:val="24"/>
        </w:rPr>
        <w:t>; palielinājums</w:t>
      </w:r>
      <w:r w:rsidR="00AF6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2FE">
        <w:rPr>
          <w:rFonts w:ascii="Times New Roman" w:eastAsia="Calibri" w:hAnsi="Times New Roman" w:cs="Times New Roman"/>
          <w:sz w:val="24"/>
          <w:szCs w:val="24"/>
        </w:rPr>
        <w:t>33 966</w:t>
      </w:r>
      <w:r w:rsidRPr="00AF6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66B6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6B326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652FE" w:rsidRDefault="005B3B26" w:rsidP="006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3269">
        <w:rPr>
          <w:rFonts w:ascii="Times New Roman" w:eastAsia="Calibri" w:hAnsi="Times New Roman" w:cs="Times New Roman"/>
          <w:sz w:val="24"/>
          <w:szCs w:val="24"/>
        </w:rPr>
        <w:t>Pašvaldības budžetā saņemtā dotācija no pašvaldību finanšu izlīdzināšanas fonda  201</w:t>
      </w:r>
      <w:r w:rsidR="004652FE">
        <w:rPr>
          <w:rFonts w:ascii="Times New Roman" w:eastAsia="Calibri" w:hAnsi="Times New Roman" w:cs="Times New Roman"/>
          <w:sz w:val="24"/>
          <w:szCs w:val="24"/>
        </w:rPr>
        <w:t>7</w:t>
      </w:r>
      <w:r w:rsidRPr="006B3269">
        <w:rPr>
          <w:rFonts w:ascii="Times New Roman" w:eastAsia="Calibri" w:hAnsi="Times New Roman" w:cs="Times New Roman"/>
          <w:sz w:val="24"/>
          <w:szCs w:val="24"/>
        </w:rPr>
        <w:t xml:space="preserve">.gadā samazinājusies par </w:t>
      </w:r>
      <w:r w:rsidR="004652FE">
        <w:rPr>
          <w:rFonts w:ascii="Times New Roman" w:eastAsia="Calibri" w:hAnsi="Times New Roman" w:cs="Times New Roman"/>
          <w:sz w:val="24"/>
          <w:szCs w:val="24"/>
        </w:rPr>
        <w:t>71 971</w:t>
      </w:r>
      <w:r w:rsidRPr="006B3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3269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6B3269">
        <w:rPr>
          <w:rFonts w:ascii="Times New Roman" w:eastAsia="Calibri" w:hAnsi="Times New Roman" w:cs="Times New Roman"/>
          <w:sz w:val="24"/>
          <w:szCs w:val="24"/>
        </w:rPr>
        <w:t xml:space="preserve"> un plānota 1</w:t>
      </w:r>
      <w:r w:rsidR="004652FE">
        <w:rPr>
          <w:rFonts w:ascii="Times New Roman" w:eastAsia="Calibri" w:hAnsi="Times New Roman" w:cs="Times New Roman"/>
          <w:sz w:val="24"/>
          <w:szCs w:val="24"/>
        </w:rPr>
        <w:t> 663 809</w:t>
      </w:r>
      <w:r w:rsidRPr="006B3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3269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6B32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B3269">
        <w:rPr>
          <w:rFonts w:ascii="Times New Roman" w:eastAsia="Calibri" w:hAnsi="Times New Roman" w:cs="Times New Roman"/>
          <w:sz w:val="24"/>
          <w:szCs w:val="24"/>
        </w:rPr>
        <w:t>apmērā.</w:t>
      </w:r>
      <w:r w:rsidR="00AF66B6" w:rsidRPr="006B32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807ED" w:rsidRPr="004652FE" w:rsidRDefault="00C25D24" w:rsidP="006B3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ašvaldību </w:t>
      </w:r>
      <w:r w:rsidR="00A50B66">
        <w:rPr>
          <w:rFonts w:ascii="Times New Roman" w:eastAsia="Calibri" w:hAnsi="Times New Roman" w:cs="Times New Roman"/>
          <w:sz w:val="24"/>
          <w:szCs w:val="24"/>
        </w:rPr>
        <w:t xml:space="preserve">saņemtie </w:t>
      </w:r>
      <w:proofErr w:type="spellStart"/>
      <w:r w:rsidR="008807ED" w:rsidRPr="00E51FB8">
        <w:rPr>
          <w:rFonts w:ascii="Times New Roman" w:eastAsia="Calibri" w:hAnsi="Times New Roman" w:cs="Times New Roman"/>
          <w:sz w:val="24"/>
          <w:szCs w:val="24"/>
        </w:rPr>
        <w:t>transferta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ieņēmumi </w:t>
      </w:r>
      <w:r w:rsidR="00A50B66">
        <w:rPr>
          <w:rFonts w:ascii="Times New Roman" w:eastAsia="Calibri" w:hAnsi="Times New Roman" w:cs="Times New Roman"/>
          <w:sz w:val="24"/>
          <w:szCs w:val="24"/>
        </w:rPr>
        <w:t xml:space="preserve">no citām pašvaldībām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ir plānoti par savstarpējiem no</w:t>
      </w:r>
      <w:r w:rsidR="00A50B66">
        <w:rPr>
          <w:rFonts w:ascii="Times New Roman" w:eastAsia="Calibri" w:hAnsi="Times New Roman" w:cs="Times New Roman"/>
          <w:sz w:val="24"/>
          <w:szCs w:val="24"/>
        </w:rPr>
        <w:t xml:space="preserve">rēķiniem par izglītības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pakalpojumiem</w:t>
      </w:r>
      <w:r w:rsidR="00A50B6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652FE">
        <w:rPr>
          <w:rFonts w:ascii="Times New Roman" w:eastAsia="Calibri" w:hAnsi="Times New Roman" w:cs="Times New Roman"/>
          <w:sz w:val="24"/>
          <w:szCs w:val="24"/>
        </w:rPr>
        <w:t>81 500</w:t>
      </w:r>
      <w:r w:rsidR="00A50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B66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652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652FE" w:rsidRPr="004652FE">
        <w:rPr>
          <w:rFonts w:ascii="Times New Roman" w:eastAsia="Calibri" w:hAnsi="Times New Roman" w:cs="Times New Roman"/>
          <w:sz w:val="24"/>
          <w:szCs w:val="24"/>
        </w:rPr>
        <w:t>(</w:t>
      </w:r>
      <w:r w:rsidR="007244B3">
        <w:rPr>
          <w:rFonts w:ascii="Times New Roman" w:eastAsia="Calibri" w:hAnsi="Times New Roman" w:cs="Times New Roman"/>
          <w:sz w:val="24"/>
          <w:szCs w:val="24"/>
        </w:rPr>
        <w:t xml:space="preserve">palielinājums </w:t>
      </w:r>
      <w:r w:rsidR="004652FE">
        <w:rPr>
          <w:rFonts w:ascii="Times New Roman" w:eastAsia="Calibri" w:hAnsi="Times New Roman" w:cs="Times New Roman"/>
          <w:sz w:val="24"/>
          <w:szCs w:val="24"/>
        </w:rPr>
        <w:t xml:space="preserve">7853 </w:t>
      </w:r>
      <w:proofErr w:type="spellStart"/>
      <w:r w:rsidR="004652FE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652FE" w:rsidRPr="004652FE">
        <w:rPr>
          <w:rFonts w:ascii="Times New Roman" w:eastAsia="Calibri" w:hAnsi="Times New Roman" w:cs="Times New Roman"/>
          <w:sz w:val="24"/>
          <w:szCs w:val="24"/>
        </w:rPr>
        <w:t>)</w:t>
      </w:r>
      <w:r w:rsidR="00465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7ED" w:rsidRPr="00E51FB8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Pr="00A6534C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4C">
        <w:rPr>
          <w:rFonts w:ascii="Times New Roman" w:eastAsia="Calibri" w:hAnsi="Times New Roman" w:cs="Times New Roman"/>
          <w:sz w:val="24"/>
          <w:szCs w:val="24"/>
        </w:rPr>
        <w:t xml:space="preserve">Pamatbudžeta ieņēmumu struktūra </w:t>
      </w:r>
      <w:r w:rsidRPr="008713D2">
        <w:rPr>
          <w:rFonts w:ascii="Times New Roman" w:eastAsia="Calibri" w:hAnsi="Times New Roman" w:cs="Times New Roman"/>
          <w:sz w:val="24"/>
          <w:szCs w:val="24"/>
        </w:rPr>
        <w:t>attēlā Nr.1</w:t>
      </w:r>
    </w:p>
    <w:p w:rsidR="008807ED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534C">
        <w:rPr>
          <w:rFonts w:ascii="Times New Roman" w:eastAsia="Calibri" w:hAnsi="Times New Roman" w:cs="Times New Roman"/>
          <w:sz w:val="24"/>
          <w:szCs w:val="24"/>
        </w:rPr>
        <w:t xml:space="preserve">Kopējie ieņēmumi </w:t>
      </w:r>
      <w:r w:rsidR="00F676DE" w:rsidRPr="00A6534C">
        <w:rPr>
          <w:rFonts w:ascii="Times New Roman" w:eastAsia="Calibri" w:hAnsi="Times New Roman" w:cs="Times New Roman"/>
          <w:sz w:val="24"/>
          <w:szCs w:val="24"/>
        </w:rPr>
        <w:t>8</w:t>
      </w:r>
      <w:r w:rsidR="004652FE">
        <w:rPr>
          <w:rFonts w:ascii="Times New Roman" w:eastAsia="Calibri" w:hAnsi="Times New Roman" w:cs="Times New Roman"/>
          <w:sz w:val="24"/>
          <w:szCs w:val="24"/>
        </w:rPr>
        <w:t> 9</w:t>
      </w:r>
      <w:r w:rsidR="009628C0">
        <w:rPr>
          <w:rFonts w:ascii="Times New Roman" w:eastAsia="Calibri" w:hAnsi="Times New Roman" w:cs="Times New Roman"/>
          <w:sz w:val="24"/>
          <w:szCs w:val="24"/>
        </w:rPr>
        <w:t>41</w:t>
      </w:r>
      <w:r w:rsidR="004652FE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9628C0">
        <w:rPr>
          <w:rFonts w:ascii="Times New Roman" w:eastAsia="Calibri" w:hAnsi="Times New Roman" w:cs="Times New Roman"/>
          <w:sz w:val="24"/>
          <w:szCs w:val="24"/>
        </w:rPr>
        <w:t>68</w:t>
      </w:r>
      <w:r w:rsidRPr="00A65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534C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6B326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807ED" w:rsidRPr="00E51FB8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07ED" w:rsidRPr="00E51FB8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5424CF" wp14:editId="7F14F61B">
            <wp:extent cx="6019800" cy="27241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7ED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772" w:rsidRPr="00E51FB8" w:rsidRDefault="00D81772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Pr="00E51FB8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FB8">
        <w:rPr>
          <w:rFonts w:ascii="Times New Roman" w:eastAsia="Calibri" w:hAnsi="Times New Roman" w:cs="Times New Roman"/>
          <w:b/>
          <w:sz w:val="24"/>
          <w:szCs w:val="24"/>
        </w:rPr>
        <w:t>2. Izdevumi</w:t>
      </w:r>
    </w:p>
    <w:p w:rsidR="00AB0943" w:rsidRPr="00AB0943" w:rsidRDefault="00F676DE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Kandavas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novada pašvaldības 201</w:t>
      </w:r>
      <w:r w:rsidR="00CC6B1E">
        <w:rPr>
          <w:rFonts w:ascii="Times New Roman" w:eastAsia="Calibri" w:hAnsi="Times New Roman" w:cs="Times New Roman"/>
          <w:sz w:val="24"/>
          <w:szCs w:val="24"/>
        </w:rPr>
        <w:t>7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. gada pamatbudžeta kopējie izdevumi ir plānoti </w:t>
      </w:r>
      <w:r w:rsidR="00CC6B1E">
        <w:rPr>
          <w:rFonts w:ascii="Times New Roman" w:eastAsia="Calibri" w:hAnsi="Times New Roman" w:cs="Times New Roman"/>
          <w:sz w:val="24"/>
          <w:szCs w:val="24"/>
        </w:rPr>
        <w:t>11</w:t>
      </w:r>
      <w:r w:rsidR="000D7652">
        <w:rPr>
          <w:rFonts w:ascii="Times New Roman" w:eastAsia="Calibri" w:hAnsi="Times New Roman" w:cs="Times New Roman"/>
          <w:sz w:val="24"/>
          <w:szCs w:val="24"/>
        </w:rPr>
        <w:t> </w:t>
      </w:r>
      <w:r w:rsidR="00CC6B1E">
        <w:rPr>
          <w:rFonts w:ascii="Times New Roman" w:eastAsia="Calibri" w:hAnsi="Times New Roman" w:cs="Times New Roman"/>
          <w:sz w:val="24"/>
          <w:szCs w:val="24"/>
        </w:rPr>
        <w:t>7</w:t>
      </w:r>
      <w:r w:rsidR="000D7652">
        <w:rPr>
          <w:rFonts w:ascii="Times New Roman" w:eastAsia="Calibri" w:hAnsi="Times New Roman" w:cs="Times New Roman"/>
          <w:sz w:val="24"/>
          <w:szCs w:val="24"/>
        </w:rPr>
        <w:t>52 669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Salīdzinājumā ar 201</w:t>
      </w:r>
      <w:r w:rsidR="00CC6B1E">
        <w:rPr>
          <w:rFonts w:ascii="Times New Roman" w:eastAsia="Calibri" w:hAnsi="Times New Roman" w:cs="Times New Roman"/>
          <w:sz w:val="24"/>
          <w:szCs w:val="24"/>
        </w:rPr>
        <w:t>6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.gadu </w:t>
      </w:r>
      <w:r>
        <w:rPr>
          <w:rFonts w:ascii="Times New Roman" w:eastAsia="Calibri" w:hAnsi="Times New Roman" w:cs="Times New Roman"/>
          <w:sz w:val="24"/>
          <w:szCs w:val="24"/>
        </w:rPr>
        <w:t>palielinājums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CC6B1E">
        <w:rPr>
          <w:rFonts w:ascii="Times New Roman" w:eastAsia="Calibri" w:hAnsi="Times New Roman" w:cs="Times New Roman"/>
          <w:sz w:val="24"/>
          <w:szCs w:val="24"/>
        </w:rPr>
        <w:t>2 8</w:t>
      </w:r>
      <w:r w:rsidR="000D7652">
        <w:rPr>
          <w:rFonts w:ascii="Times New Roman" w:eastAsia="Calibri" w:hAnsi="Times New Roman" w:cs="Times New Roman"/>
          <w:sz w:val="24"/>
          <w:szCs w:val="24"/>
        </w:rPr>
        <w:t>50</w:t>
      </w:r>
      <w:r w:rsidR="00CC6B1E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0D7652">
        <w:rPr>
          <w:rFonts w:ascii="Times New Roman" w:eastAsia="Calibri" w:hAnsi="Times New Roman" w:cs="Times New Roman"/>
          <w:sz w:val="24"/>
          <w:szCs w:val="24"/>
        </w:rPr>
        <w:t>53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>. Visi pašvaldības plānotie izdevumi pēc savas ekonomiskās būtības iedalīti deviņās funkcionālajās kategorijās</w:t>
      </w:r>
      <w:r w:rsidR="008807ED" w:rsidRPr="006346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07ED" w:rsidRPr="008713D2">
        <w:rPr>
          <w:rFonts w:ascii="Times New Roman" w:eastAsia="Calibri" w:hAnsi="Times New Roman" w:cs="Times New Roman"/>
          <w:sz w:val="24"/>
          <w:szCs w:val="24"/>
        </w:rPr>
        <w:t>to sadalījums attēlā nr.2. Lielākais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izdevumu īpatsvars b</w:t>
      </w:r>
      <w:r w:rsidR="00A4457B">
        <w:rPr>
          <w:rFonts w:ascii="Times New Roman" w:eastAsia="Calibri" w:hAnsi="Times New Roman" w:cs="Times New Roman"/>
          <w:sz w:val="24"/>
          <w:szCs w:val="24"/>
        </w:rPr>
        <w:t>udžetā ir atbalsts izglītībai 4</w:t>
      </w:r>
      <w:r w:rsidR="00BA52BE">
        <w:rPr>
          <w:rFonts w:ascii="Times New Roman" w:eastAsia="Calibri" w:hAnsi="Times New Roman" w:cs="Times New Roman"/>
          <w:sz w:val="24"/>
          <w:szCs w:val="24"/>
        </w:rPr>
        <w:t>9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A4457B">
        <w:rPr>
          <w:rFonts w:ascii="Times New Roman" w:eastAsia="Calibri" w:hAnsi="Times New Roman" w:cs="Times New Roman"/>
          <w:sz w:val="24"/>
          <w:szCs w:val="24"/>
        </w:rPr>
        <w:t>teritoriju</w:t>
      </w:r>
      <w:r w:rsidR="00BA52BE">
        <w:rPr>
          <w:rFonts w:ascii="Times New Roman" w:eastAsia="Calibri" w:hAnsi="Times New Roman" w:cs="Times New Roman"/>
          <w:sz w:val="24"/>
          <w:szCs w:val="24"/>
        </w:rPr>
        <w:t xml:space="preserve"> un mājokļu apsaimniekošanai 21</w:t>
      </w:r>
      <w:r w:rsidR="00A4457B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BA52BE">
        <w:rPr>
          <w:rFonts w:ascii="Times New Roman" w:eastAsia="Calibri" w:hAnsi="Times New Roman" w:cs="Times New Roman"/>
          <w:sz w:val="24"/>
          <w:szCs w:val="24"/>
        </w:rPr>
        <w:t>kultūrai un sportam 9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%</w:t>
      </w:r>
      <w:r w:rsidR="00A4457B">
        <w:rPr>
          <w:rFonts w:ascii="Times New Roman" w:eastAsia="Calibri" w:hAnsi="Times New Roman" w:cs="Times New Roman"/>
          <w:sz w:val="24"/>
          <w:szCs w:val="24"/>
        </w:rPr>
        <w:t>,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sociālajai palīdzībai un pakalpojumiem </w:t>
      </w:r>
      <w:r w:rsidR="00BA52BE">
        <w:rPr>
          <w:rFonts w:ascii="Times New Roman" w:eastAsia="Calibri" w:hAnsi="Times New Roman" w:cs="Times New Roman"/>
          <w:sz w:val="24"/>
          <w:szCs w:val="24"/>
        </w:rPr>
        <w:t>7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%. Visām pašvaldības </w:t>
      </w:r>
      <w:r w:rsidR="00A4457B">
        <w:rPr>
          <w:rFonts w:ascii="Times New Roman" w:eastAsia="Calibri" w:hAnsi="Times New Roman" w:cs="Times New Roman"/>
          <w:sz w:val="24"/>
          <w:szCs w:val="24"/>
        </w:rPr>
        <w:t>iestādēm, plānojot 201</w:t>
      </w:r>
      <w:r w:rsidR="00BA52BE">
        <w:rPr>
          <w:rFonts w:ascii="Times New Roman" w:eastAsia="Calibri" w:hAnsi="Times New Roman" w:cs="Times New Roman"/>
          <w:sz w:val="24"/>
          <w:szCs w:val="24"/>
        </w:rPr>
        <w:t>7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 gada izdevumus, bija jāievēro vienādi nosac</w:t>
      </w:r>
      <w:r w:rsidR="00A4457B">
        <w:rPr>
          <w:rFonts w:ascii="Times New Roman" w:eastAsia="Calibri" w:hAnsi="Times New Roman" w:cs="Times New Roman"/>
          <w:sz w:val="24"/>
          <w:szCs w:val="24"/>
        </w:rPr>
        <w:t>ījumi – budžeta izdevumi</w:t>
      </w:r>
      <w:r w:rsidR="009723B5">
        <w:rPr>
          <w:rFonts w:ascii="Times New Roman" w:eastAsia="Calibri" w:hAnsi="Times New Roman" w:cs="Times New Roman"/>
          <w:sz w:val="24"/>
          <w:szCs w:val="24"/>
        </w:rPr>
        <w:t xml:space="preserve"> jāplāno</w:t>
      </w:r>
      <w:r w:rsidR="00BA52BE">
        <w:rPr>
          <w:rFonts w:ascii="Times New Roman" w:eastAsia="Calibri" w:hAnsi="Times New Roman" w:cs="Times New Roman"/>
          <w:sz w:val="24"/>
          <w:szCs w:val="24"/>
        </w:rPr>
        <w:t xml:space="preserve"> kā 2016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 gada sākotnējais plāns</w:t>
      </w:r>
      <w:r w:rsidR="00A4457B">
        <w:rPr>
          <w:rFonts w:ascii="Times New Roman" w:eastAsia="Calibri" w:hAnsi="Times New Roman" w:cs="Times New Roman"/>
          <w:sz w:val="24"/>
          <w:szCs w:val="24"/>
        </w:rPr>
        <w:t>.</w:t>
      </w:r>
      <w:r w:rsidR="00AB09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B5A" w:rsidRDefault="008807ED" w:rsidP="00570B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07ED" w:rsidRPr="006346F0" w:rsidRDefault="008807ED" w:rsidP="006B32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6F0">
        <w:rPr>
          <w:rFonts w:ascii="Times New Roman" w:eastAsia="Calibri" w:hAnsi="Times New Roman" w:cs="Times New Roman"/>
          <w:sz w:val="24"/>
          <w:szCs w:val="24"/>
        </w:rPr>
        <w:t>Pamatbudžeta izdevumu struktūra attēlā Nr.2</w:t>
      </w:r>
    </w:p>
    <w:p w:rsidR="008807ED" w:rsidRPr="00E51FB8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6F0">
        <w:rPr>
          <w:rFonts w:ascii="Times New Roman" w:eastAsia="Calibri" w:hAnsi="Times New Roman" w:cs="Times New Roman"/>
          <w:sz w:val="24"/>
          <w:szCs w:val="24"/>
        </w:rPr>
        <w:t xml:space="preserve">Kopējie izdevumi </w:t>
      </w:r>
      <w:r w:rsidR="00BA52BE">
        <w:rPr>
          <w:rFonts w:ascii="Times New Roman" w:eastAsia="Calibri" w:hAnsi="Times New Roman" w:cs="Times New Roman"/>
          <w:sz w:val="24"/>
          <w:szCs w:val="24"/>
        </w:rPr>
        <w:t>11 7</w:t>
      </w:r>
      <w:r w:rsidR="000D7652">
        <w:rPr>
          <w:rFonts w:ascii="Times New Roman" w:eastAsia="Calibri" w:hAnsi="Times New Roman" w:cs="Times New Roman"/>
          <w:sz w:val="24"/>
          <w:szCs w:val="24"/>
        </w:rPr>
        <w:t>52</w:t>
      </w:r>
      <w:r w:rsidR="00BA52BE">
        <w:rPr>
          <w:rFonts w:ascii="Times New Roman" w:eastAsia="Calibri" w:hAnsi="Times New Roman" w:cs="Times New Roman"/>
          <w:sz w:val="24"/>
          <w:szCs w:val="24"/>
        </w:rPr>
        <w:t xml:space="preserve"> 66</w:t>
      </w:r>
      <w:r w:rsidR="000D7652">
        <w:rPr>
          <w:rFonts w:ascii="Times New Roman" w:eastAsia="Calibri" w:hAnsi="Times New Roman" w:cs="Times New Roman"/>
          <w:sz w:val="24"/>
          <w:szCs w:val="24"/>
        </w:rPr>
        <w:t>9</w:t>
      </w:r>
      <w:r w:rsidRPr="00634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46F0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570B5A" w:rsidRPr="006346F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807ED" w:rsidRPr="00E51FB8" w:rsidRDefault="008807ED" w:rsidP="00AB15E1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F6B0815" wp14:editId="0821EF90">
            <wp:extent cx="6052782" cy="4463387"/>
            <wp:effectExtent l="0" t="0" r="43815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3269" w:rsidRDefault="006B3269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C05" w:rsidRDefault="007C3D61" w:rsidP="00BC30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.1. Pārvaldes izdevumi. Saskaņā ar LR likumu „Par p</w:t>
      </w:r>
      <w:r>
        <w:rPr>
          <w:rFonts w:ascii="Times New Roman" w:eastAsia="Calibri" w:hAnsi="Times New Roman" w:cs="Times New Roman"/>
          <w:sz w:val="24"/>
          <w:szCs w:val="24"/>
        </w:rPr>
        <w:t>ašvaldībām” un atbilstoši Kandavas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novada Domes nolikumam, pašvaldības iedzīvotāju pārstāvību nodrošina pašvaldības lēmējorgāns – dome, ko veido ievēlēti deputāti, savukārt domes pieņemto lēmumu izpildi, kā arī tās darba organizatorisko un tehnisko apkalpošanu nodrošina pašvaldības administrācija. </w:t>
      </w:r>
      <w:r w:rsidR="008807ED" w:rsidRPr="00BC300B">
        <w:rPr>
          <w:rFonts w:ascii="Times New Roman" w:eastAsia="Calibri" w:hAnsi="Times New Roman" w:cs="Times New Roman"/>
          <w:sz w:val="24"/>
          <w:szCs w:val="24"/>
        </w:rPr>
        <w:t>Kopējie izdevumi 201</w:t>
      </w:r>
      <w:r w:rsidR="00B82444">
        <w:rPr>
          <w:rFonts w:ascii="Times New Roman" w:eastAsia="Calibri" w:hAnsi="Times New Roman" w:cs="Times New Roman"/>
          <w:sz w:val="24"/>
          <w:szCs w:val="24"/>
        </w:rPr>
        <w:t>7</w:t>
      </w:r>
      <w:r w:rsidR="008807ED" w:rsidRPr="00BC300B">
        <w:rPr>
          <w:rFonts w:ascii="Times New Roman" w:eastAsia="Calibri" w:hAnsi="Times New Roman" w:cs="Times New Roman"/>
          <w:sz w:val="24"/>
          <w:szCs w:val="24"/>
        </w:rPr>
        <w:t xml:space="preserve">. gadā ir </w:t>
      </w:r>
      <w:r w:rsidR="00BC300B" w:rsidRPr="00BC300B">
        <w:rPr>
          <w:rFonts w:ascii="Times New Roman" w:eastAsia="Calibri" w:hAnsi="Times New Roman" w:cs="Times New Roman"/>
          <w:sz w:val="24"/>
          <w:szCs w:val="24"/>
        </w:rPr>
        <w:t>6</w:t>
      </w:r>
      <w:r w:rsidR="00B82444">
        <w:rPr>
          <w:rFonts w:ascii="Times New Roman" w:eastAsia="Calibri" w:hAnsi="Times New Roman" w:cs="Times New Roman"/>
          <w:sz w:val="24"/>
          <w:szCs w:val="24"/>
        </w:rPr>
        <w:t>59 509</w:t>
      </w:r>
      <w:r w:rsidR="00BC300B" w:rsidRPr="00B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C300B" w:rsidRPr="00BC300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807ED" w:rsidRPr="00BC300B">
        <w:rPr>
          <w:rFonts w:ascii="Times New Roman" w:eastAsia="Calibri" w:hAnsi="Times New Roman" w:cs="Times New Roman"/>
          <w:sz w:val="24"/>
          <w:szCs w:val="24"/>
        </w:rPr>
        <w:t xml:space="preserve">, kas ir par </w:t>
      </w:r>
      <w:r w:rsidR="00DC3ED7">
        <w:rPr>
          <w:rFonts w:ascii="Times New Roman" w:eastAsia="Calibri" w:hAnsi="Times New Roman" w:cs="Times New Roman"/>
          <w:sz w:val="24"/>
          <w:szCs w:val="24"/>
        </w:rPr>
        <w:t>6.3</w:t>
      </w:r>
      <w:r w:rsidR="00BC300B" w:rsidRPr="00DC3ED7">
        <w:rPr>
          <w:rFonts w:ascii="Times New Roman" w:eastAsia="Calibri" w:hAnsi="Times New Roman" w:cs="Times New Roman"/>
          <w:sz w:val="24"/>
          <w:szCs w:val="24"/>
        </w:rPr>
        <w:t>%</w:t>
      </w:r>
      <w:r w:rsidR="00BC300B" w:rsidRPr="00B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ED7">
        <w:rPr>
          <w:rFonts w:ascii="Times New Roman" w:eastAsia="Calibri" w:hAnsi="Times New Roman" w:cs="Times New Roman"/>
          <w:sz w:val="24"/>
          <w:szCs w:val="24"/>
        </w:rPr>
        <w:t>lielāki</w:t>
      </w:r>
      <w:r w:rsidR="008807ED" w:rsidRPr="00BC300B">
        <w:rPr>
          <w:rFonts w:ascii="Times New Roman" w:eastAsia="Calibri" w:hAnsi="Times New Roman" w:cs="Times New Roman"/>
          <w:sz w:val="24"/>
          <w:szCs w:val="24"/>
        </w:rPr>
        <w:t xml:space="preserve"> nekā 201</w:t>
      </w:r>
      <w:r w:rsidR="00B82444">
        <w:rPr>
          <w:rFonts w:ascii="Times New Roman" w:eastAsia="Calibri" w:hAnsi="Times New Roman" w:cs="Times New Roman"/>
          <w:sz w:val="24"/>
          <w:szCs w:val="24"/>
        </w:rPr>
        <w:t>6</w:t>
      </w:r>
      <w:r w:rsidR="008807ED" w:rsidRPr="00BC300B">
        <w:rPr>
          <w:rFonts w:ascii="Times New Roman" w:eastAsia="Calibri" w:hAnsi="Times New Roman" w:cs="Times New Roman"/>
          <w:sz w:val="24"/>
          <w:szCs w:val="24"/>
        </w:rPr>
        <w:t>. gadā (</w:t>
      </w:r>
      <w:r w:rsidR="00B82444">
        <w:rPr>
          <w:rFonts w:ascii="Times New Roman" w:eastAsia="Calibri" w:hAnsi="Times New Roman" w:cs="Times New Roman"/>
          <w:sz w:val="24"/>
          <w:szCs w:val="24"/>
        </w:rPr>
        <w:t>620 290</w:t>
      </w:r>
      <w:r w:rsidR="008807ED" w:rsidRPr="00B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BC300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BC300B" w:rsidRPr="00BC300B">
        <w:rPr>
          <w:rFonts w:ascii="Times New Roman" w:eastAsia="Calibri" w:hAnsi="Times New Roman" w:cs="Times New Roman"/>
          <w:sz w:val="24"/>
          <w:szCs w:val="24"/>
        </w:rPr>
        <w:t>), tai skaitā</w:t>
      </w:r>
      <w:r w:rsidR="00BC300B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arāda maksājumi (kredītu apkalpošana un procentu izdevumi) ir plānoti </w:t>
      </w:r>
      <w:r w:rsidR="009073C7">
        <w:rPr>
          <w:rFonts w:ascii="Times New Roman" w:eastAsia="Calibri" w:hAnsi="Times New Roman" w:cs="Times New Roman"/>
          <w:sz w:val="24"/>
          <w:szCs w:val="24"/>
        </w:rPr>
        <w:t>6</w:t>
      </w:r>
      <w:r w:rsidR="00B82444">
        <w:rPr>
          <w:rFonts w:ascii="Times New Roman" w:eastAsia="Calibri" w:hAnsi="Times New Roman" w:cs="Times New Roman"/>
          <w:sz w:val="24"/>
          <w:szCs w:val="24"/>
        </w:rPr>
        <w:t>5</w:t>
      </w:r>
      <w:r w:rsidR="009073C7">
        <w:rPr>
          <w:rFonts w:ascii="Times New Roman" w:eastAsia="Calibri" w:hAnsi="Times New Roman" w:cs="Times New Roman"/>
          <w:sz w:val="24"/>
          <w:szCs w:val="24"/>
        </w:rPr>
        <w:t xml:space="preserve"> 500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, kas ir par </w:t>
      </w:r>
      <w:r w:rsidR="00B82444">
        <w:rPr>
          <w:rFonts w:ascii="Times New Roman" w:eastAsia="Calibri" w:hAnsi="Times New Roman" w:cs="Times New Roman"/>
          <w:sz w:val="24"/>
          <w:szCs w:val="24"/>
        </w:rPr>
        <w:t>1000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mazāk salīdzinājumā ar 201</w:t>
      </w:r>
      <w:r w:rsidR="00B82444">
        <w:rPr>
          <w:rFonts w:ascii="Times New Roman" w:eastAsia="Calibri" w:hAnsi="Times New Roman" w:cs="Times New Roman"/>
          <w:sz w:val="24"/>
          <w:szCs w:val="24"/>
        </w:rPr>
        <w:t>6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.gadu</w:t>
      </w:r>
      <w:r w:rsidR="00B82444">
        <w:rPr>
          <w:rFonts w:ascii="Times New Roman" w:eastAsia="Calibri" w:hAnsi="Times New Roman" w:cs="Times New Roman"/>
          <w:sz w:val="24"/>
          <w:szCs w:val="24"/>
        </w:rPr>
        <w:t>.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444">
        <w:rPr>
          <w:rFonts w:ascii="Times New Roman" w:eastAsia="Calibri" w:hAnsi="Times New Roman" w:cs="Times New Roman"/>
          <w:sz w:val="24"/>
          <w:szCs w:val="24"/>
        </w:rPr>
        <w:t xml:space="preserve">2017.gadā notiks pašvaldību vēlēšanas: to organizēšanai plānoti 17 893 </w:t>
      </w:r>
      <w:proofErr w:type="spellStart"/>
      <w:r w:rsidR="00B82444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B8244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82444" w:rsidRDefault="00B82444" w:rsidP="00BC30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2.</w:t>
      </w:r>
      <w:r w:rsidR="00BC300B">
        <w:rPr>
          <w:rFonts w:ascii="Times New Roman" w:eastAsia="Calibri" w:hAnsi="Times New Roman" w:cs="Times New Roman"/>
          <w:sz w:val="24"/>
          <w:szCs w:val="24"/>
        </w:rPr>
        <w:t>2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 Sabiedriskā kārtība un drošība. Atbilstoši iedalījumam funkcionālajās kategorijās šos izdevumus veido pašvaldības policijas uzturēšana, </w:t>
      </w:r>
      <w:r w:rsidR="009073C7">
        <w:rPr>
          <w:rFonts w:ascii="Times New Roman" w:eastAsia="Calibri" w:hAnsi="Times New Roman" w:cs="Times New Roman"/>
          <w:sz w:val="24"/>
          <w:szCs w:val="24"/>
        </w:rPr>
        <w:t xml:space="preserve">ugunsdrošības dienestu un bāriņtiesas </w:t>
      </w:r>
      <w:r w:rsidRPr="00E51FB8">
        <w:rPr>
          <w:rFonts w:ascii="Times New Roman" w:eastAsia="Calibri" w:hAnsi="Times New Roman" w:cs="Times New Roman"/>
          <w:sz w:val="24"/>
          <w:szCs w:val="24"/>
        </w:rPr>
        <w:t>uzturēšana. Salīdzinājumā ar 201</w:t>
      </w:r>
      <w:r w:rsidR="00DC3ED7">
        <w:rPr>
          <w:rFonts w:ascii="Times New Roman" w:eastAsia="Calibri" w:hAnsi="Times New Roman" w:cs="Times New Roman"/>
          <w:sz w:val="24"/>
          <w:szCs w:val="24"/>
        </w:rPr>
        <w:t>6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.gadu izdevumi ir </w:t>
      </w:r>
      <w:r w:rsidR="00DC3ED7">
        <w:rPr>
          <w:rFonts w:ascii="Times New Roman" w:eastAsia="Calibri" w:hAnsi="Times New Roman" w:cs="Times New Roman"/>
          <w:sz w:val="24"/>
          <w:szCs w:val="24"/>
        </w:rPr>
        <w:t>palielinājušies</w:t>
      </w:r>
      <w:r w:rsidR="009073C7">
        <w:rPr>
          <w:rFonts w:ascii="Times New Roman" w:eastAsia="Calibri" w:hAnsi="Times New Roman" w:cs="Times New Roman"/>
          <w:sz w:val="24"/>
          <w:szCs w:val="24"/>
        </w:rPr>
        <w:t xml:space="preserve"> par 6</w:t>
      </w:r>
      <w:r w:rsidR="00DC3ED7">
        <w:rPr>
          <w:rFonts w:ascii="Times New Roman" w:eastAsia="Calibri" w:hAnsi="Times New Roman" w:cs="Times New Roman"/>
          <w:sz w:val="24"/>
          <w:szCs w:val="24"/>
        </w:rPr>
        <w:t>.3</w:t>
      </w:r>
      <w:r w:rsidRPr="00E51FB8">
        <w:rPr>
          <w:rFonts w:ascii="Times New Roman" w:eastAsia="Calibri" w:hAnsi="Times New Roman" w:cs="Times New Roman"/>
          <w:sz w:val="24"/>
          <w:szCs w:val="24"/>
        </w:rPr>
        <w:t>% (</w:t>
      </w:r>
      <w:r w:rsidR="00DC3ED7">
        <w:rPr>
          <w:rFonts w:ascii="Times New Roman" w:eastAsia="Calibri" w:hAnsi="Times New Roman" w:cs="Times New Roman"/>
          <w:sz w:val="24"/>
          <w:szCs w:val="24"/>
        </w:rPr>
        <w:t>9688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E49C6">
        <w:rPr>
          <w:rFonts w:ascii="Times New Roman" w:eastAsia="Calibri" w:hAnsi="Times New Roman" w:cs="Times New Roman"/>
          <w:sz w:val="24"/>
          <w:szCs w:val="24"/>
        </w:rPr>
        <w:t>)</w:t>
      </w:r>
      <w:r w:rsidR="00DC3ED7">
        <w:rPr>
          <w:rFonts w:ascii="Times New Roman" w:eastAsia="Calibri" w:hAnsi="Times New Roman" w:cs="Times New Roman"/>
          <w:sz w:val="24"/>
          <w:szCs w:val="24"/>
        </w:rPr>
        <w:t>.</w:t>
      </w:r>
      <w:r w:rsidR="004E49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832" w:rsidRPr="00D84832" w:rsidRDefault="00D84832" w:rsidP="00D84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Pašvaldības policijai izdevumi palielināti par 10226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ievērojamākais pieaugums: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atlīdzībai 7230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pakalpojumiem 1894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datortehnikas iegādei 800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49C6" w:rsidRPr="00D84832" w:rsidRDefault="00D84832" w:rsidP="004E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01FD0">
        <w:rPr>
          <w:rFonts w:ascii="Times New Roman" w:eastAsia="Calibri" w:hAnsi="Times New Roman" w:cs="Times New Roman"/>
          <w:sz w:val="24"/>
          <w:szCs w:val="24"/>
        </w:rPr>
        <w:t xml:space="preserve">Izdevumi bāriņtiesas uzturēšanai plānoti par </w:t>
      </w:r>
      <w:r>
        <w:rPr>
          <w:rFonts w:ascii="Times New Roman" w:eastAsia="Calibri" w:hAnsi="Times New Roman" w:cs="Times New Roman"/>
          <w:sz w:val="24"/>
          <w:szCs w:val="24"/>
        </w:rPr>
        <w:t>3962</w:t>
      </w:r>
      <w:r w:rsidR="00101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FD0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01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vairāk: palielinājums atlīdzībai 3882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807ED" w:rsidRDefault="006F1DC5" w:rsidP="00D848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2.</w:t>
      </w:r>
      <w:r w:rsidR="00BC300B">
        <w:rPr>
          <w:rFonts w:ascii="Times New Roman" w:eastAsia="Calibri" w:hAnsi="Times New Roman" w:cs="Times New Roman"/>
          <w:sz w:val="24"/>
          <w:szCs w:val="24"/>
        </w:rPr>
        <w:t>3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 Ekonomiskā darbība. Šīs sadaļas izdevumus veido tūrisma attīstībai novadā</w:t>
      </w:r>
      <w:r w:rsidR="00610321">
        <w:rPr>
          <w:rFonts w:ascii="Times New Roman" w:eastAsia="Calibri" w:hAnsi="Times New Roman" w:cs="Times New Roman"/>
          <w:sz w:val="24"/>
          <w:szCs w:val="24"/>
        </w:rPr>
        <w:t>,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pilsētas un novada infrastruktūras sakārtošanai (i</w:t>
      </w:r>
      <w:r w:rsidR="00610321">
        <w:rPr>
          <w:rFonts w:ascii="Times New Roman" w:eastAsia="Calibri" w:hAnsi="Times New Roman" w:cs="Times New Roman"/>
          <w:sz w:val="24"/>
          <w:szCs w:val="24"/>
        </w:rPr>
        <w:t>elas, ceļi, tilti, veloceliņi) p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lānotie izdevumi</w:t>
      </w:r>
      <w:r w:rsidR="00610321">
        <w:rPr>
          <w:rFonts w:ascii="Times New Roman" w:eastAsia="Calibri" w:hAnsi="Times New Roman" w:cs="Times New Roman"/>
          <w:sz w:val="24"/>
          <w:szCs w:val="24"/>
        </w:rPr>
        <w:t>: 201</w:t>
      </w:r>
      <w:r w:rsidR="00D84832">
        <w:rPr>
          <w:rFonts w:ascii="Times New Roman" w:eastAsia="Calibri" w:hAnsi="Times New Roman" w:cs="Times New Roman"/>
          <w:sz w:val="24"/>
          <w:szCs w:val="24"/>
        </w:rPr>
        <w:t>7</w:t>
      </w:r>
      <w:r w:rsidR="00610321">
        <w:rPr>
          <w:rFonts w:ascii="Times New Roman" w:eastAsia="Calibri" w:hAnsi="Times New Roman" w:cs="Times New Roman"/>
          <w:sz w:val="24"/>
          <w:szCs w:val="24"/>
        </w:rPr>
        <w:t xml:space="preserve">.gadā </w:t>
      </w:r>
      <w:r w:rsidR="00D84832">
        <w:rPr>
          <w:rFonts w:ascii="Times New Roman" w:eastAsia="Calibri" w:hAnsi="Times New Roman" w:cs="Times New Roman"/>
          <w:sz w:val="24"/>
          <w:szCs w:val="24"/>
        </w:rPr>
        <w:t>–</w:t>
      </w:r>
      <w:r w:rsidR="00610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832">
        <w:rPr>
          <w:rFonts w:ascii="Times New Roman" w:eastAsia="Calibri" w:hAnsi="Times New Roman" w:cs="Times New Roman"/>
          <w:sz w:val="24"/>
          <w:szCs w:val="24"/>
        </w:rPr>
        <w:t xml:space="preserve">485 772 </w:t>
      </w:r>
      <w:proofErr w:type="spellStart"/>
      <w:r w:rsidR="00D84832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D84832">
        <w:rPr>
          <w:rFonts w:ascii="Times New Roman" w:eastAsia="Calibri" w:hAnsi="Times New Roman" w:cs="Times New Roman"/>
          <w:sz w:val="24"/>
          <w:szCs w:val="24"/>
        </w:rPr>
        <w:t xml:space="preserve"> ( 2016.gadā -</w:t>
      </w:r>
      <w:r w:rsidR="00610321">
        <w:rPr>
          <w:rFonts w:ascii="Times New Roman" w:eastAsia="Calibri" w:hAnsi="Times New Roman" w:cs="Times New Roman"/>
          <w:sz w:val="24"/>
          <w:szCs w:val="24"/>
        </w:rPr>
        <w:t>290 106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D84832" w:rsidRPr="0025370F">
        <w:rPr>
          <w:rFonts w:ascii="Times New Roman" w:eastAsia="Calibri" w:hAnsi="Times New Roman" w:cs="Times New Roman"/>
          <w:sz w:val="24"/>
          <w:szCs w:val="24"/>
        </w:rPr>
        <w:t>)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. Lielākie plānotie darbi </w:t>
      </w:r>
      <w:r w:rsidR="00473EA2">
        <w:rPr>
          <w:rFonts w:ascii="Times New Roman" w:eastAsia="Calibri" w:hAnsi="Times New Roman" w:cs="Times New Roman"/>
          <w:sz w:val="24"/>
          <w:szCs w:val="24"/>
        </w:rPr>
        <w:t>ir me</w:t>
      </w:r>
      <w:r w:rsidR="0025370F">
        <w:rPr>
          <w:rFonts w:ascii="Times New Roman" w:eastAsia="Calibri" w:hAnsi="Times New Roman" w:cs="Times New Roman"/>
          <w:sz w:val="24"/>
          <w:szCs w:val="24"/>
        </w:rPr>
        <w:t>lnā segum</w:t>
      </w:r>
      <w:r w:rsidR="007659A7">
        <w:rPr>
          <w:rFonts w:ascii="Times New Roman" w:eastAsia="Calibri" w:hAnsi="Times New Roman" w:cs="Times New Roman"/>
          <w:sz w:val="24"/>
          <w:szCs w:val="24"/>
        </w:rPr>
        <w:t>a izbūve Sēravotu, Lauku, Sabiles</w:t>
      </w:r>
      <w:r w:rsidR="0025370F">
        <w:rPr>
          <w:rFonts w:ascii="Times New Roman" w:eastAsia="Calibri" w:hAnsi="Times New Roman" w:cs="Times New Roman"/>
          <w:sz w:val="24"/>
          <w:szCs w:val="24"/>
        </w:rPr>
        <w:t xml:space="preserve"> ielās Kandavā</w:t>
      </w:r>
      <w:r w:rsidR="00473EA2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25370F">
        <w:rPr>
          <w:rFonts w:ascii="Times New Roman" w:eastAsia="Calibri" w:hAnsi="Times New Roman" w:cs="Times New Roman"/>
          <w:sz w:val="24"/>
          <w:szCs w:val="24"/>
        </w:rPr>
        <w:t xml:space="preserve">Mazās Skolas ielas </w:t>
      </w:r>
      <w:r w:rsidR="00473EA2">
        <w:rPr>
          <w:rFonts w:ascii="Times New Roman" w:eastAsia="Calibri" w:hAnsi="Times New Roman" w:cs="Times New Roman"/>
          <w:sz w:val="24"/>
          <w:szCs w:val="24"/>
        </w:rPr>
        <w:t xml:space="preserve">izbūve </w:t>
      </w:r>
      <w:r w:rsidR="0025370F">
        <w:rPr>
          <w:rFonts w:ascii="Times New Roman" w:eastAsia="Calibri" w:hAnsi="Times New Roman" w:cs="Times New Roman"/>
          <w:sz w:val="24"/>
          <w:szCs w:val="24"/>
        </w:rPr>
        <w:t xml:space="preserve"> pie katlu mājas </w:t>
      </w:r>
      <w:r w:rsidR="00473EA2">
        <w:rPr>
          <w:rFonts w:ascii="Times New Roman" w:eastAsia="Calibri" w:hAnsi="Times New Roman" w:cs="Times New Roman"/>
          <w:sz w:val="24"/>
          <w:szCs w:val="24"/>
        </w:rPr>
        <w:t>Kandavā</w:t>
      </w:r>
      <w:r w:rsidR="007244B3">
        <w:rPr>
          <w:rFonts w:ascii="Times New Roman" w:eastAsia="Calibri" w:hAnsi="Times New Roman" w:cs="Times New Roman"/>
          <w:sz w:val="24"/>
          <w:szCs w:val="24"/>
        </w:rPr>
        <w:t>;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EA2">
        <w:rPr>
          <w:rFonts w:ascii="Times New Roman" w:eastAsia="Calibri" w:hAnsi="Times New Roman" w:cs="Times New Roman"/>
          <w:sz w:val="24"/>
          <w:szCs w:val="24"/>
        </w:rPr>
        <w:t xml:space="preserve">pilsētā un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pagastos grantēto ceļu seguma atjaunošana </w:t>
      </w:r>
      <w:r w:rsidR="00473EA2">
        <w:rPr>
          <w:rFonts w:ascii="Times New Roman" w:eastAsia="Calibri" w:hAnsi="Times New Roman" w:cs="Times New Roman"/>
          <w:sz w:val="24"/>
          <w:szCs w:val="24"/>
        </w:rPr>
        <w:t xml:space="preserve">un uzturēšana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u.c. </w:t>
      </w:r>
      <w:r w:rsidR="0025370F">
        <w:rPr>
          <w:rFonts w:ascii="Times New Roman" w:eastAsia="Calibri" w:hAnsi="Times New Roman" w:cs="Times New Roman"/>
          <w:sz w:val="24"/>
          <w:szCs w:val="24"/>
        </w:rPr>
        <w:t xml:space="preserve">; gājēju celiņu izbūve Zantē un Vānē. </w:t>
      </w:r>
    </w:p>
    <w:p w:rsidR="008A6C40" w:rsidRPr="00E51FB8" w:rsidRDefault="008A6C40" w:rsidP="00D848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BC300B">
        <w:rPr>
          <w:rFonts w:ascii="Times New Roman" w:eastAsia="Calibri" w:hAnsi="Times New Roman" w:cs="Times New Roman"/>
          <w:sz w:val="24"/>
          <w:szCs w:val="24"/>
        </w:rPr>
        <w:t>4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 Vides aizsardzība. Plānotie līdzekļi </w:t>
      </w:r>
      <w:r w:rsidR="00610321">
        <w:rPr>
          <w:rFonts w:ascii="Times New Roman" w:eastAsia="Calibri" w:hAnsi="Times New Roman" w:cs="Times New Roman"/>
          <w:sz w:val="24"/>
          <w:szCs w:val="24"/>
        </w:rPr>
        <w:t>29</w:t>
      </w:r>
      <w:r w:rsidR="0025370F">
        <w:rPr>
          <w:rFonts w:ascii="Times New Roman" w:eastAsia="Calibri" w:hAnsi="Times New Roman" w:cs="Times New Roman"/>
          <w:sz w:val="24"/>
          <w:szCs w:val="24"/>
        </w:rPr>
        <w:t>4</w:t>
      </w:r>
      <w:r w:rsidR="00610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70F">
        <w:rPr>
          <w:rFonts w:ascii="Times New Roman" w:eastAsia="Calibri" w:hAnsi="Times New Roman" w:cs="Times New Roman"/>
          <w:sz w:val="24"/>
          <w:szCs w:val="24"/>
        </w:rPr>
        <w:t>230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2537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5370F">
        <w:rPr>
          <w:rFonts w:ascii="Times New Roman" w:eastAsia="Calibri" w:hAnsi="Times New Roman" w:cs="Times New Roman"/>
          <w:sz w:val="24"/>
          <w:szCs w:val="24"/>
        </w:rPr>
        <w:t>(2016.gadā – 293</w:t>
      </w:r>
      <w:r w:rsidR="00724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70F">
        <w:rPr>
          <w:rFonts w:ascii="Times New Roman" w:eastAsia="Calibri" w:hAnsi="Times New Roman" w:cs="Times New Roman"/>
          <w:sz w:val="24"/>
          <w:szCs w:val="24"/>
        </w:rPr>
        <w:t xml:space="preserve">550 </w:t>
      </w:r>
      <w:proofErr w:type="spellStart"/>
      <w:r w:rsidR="0025370F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25370F" w:rsidRPr="0025370F">
        <w:rPr>
          <w:rFonts w:ascii="Times New Roman" w:eastAsia="Calibri" w:hAnsi="Times New Roman" w:cs="Times New Roman"/>
          <w:sz w:val="24"/>
          <w:szCs w:val="24"/>
        </w:rPr>
        <w:t>)</w:t>
      </w:r>
      <w:r w:rsidR="00610321" w:rsidRPr="0025370F">
        <w:rPr>
          <w:rFonts w:ascii="Times New Roman" w:eastAsia="Calibri" w:hAnsi="Times New Roman" w:cs="Times New Roman"/>
          <w:sz w:val="24"/>
          <w:szCs w:val="24"/>
        </w:rPr>
        <w:t>.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Finansējums paredzēts – ielu, laukumu, parku un citu teritoriju tīrīšanai, atkritumu savākšanai, notekūdeņu apsaimniekošanai</w:t>
      </w:r>
      <w:r w:rsidR="00610321">
        <w:rPr>
          <w:rFonts w:ascii="Times New Roman" w:eastAsia="Calibri" w:hAnsi="Times New Roman" w:cs="Times New Roman"/>
          <w:sz w:val="24"/>
          <w:szCs w:val="24"/>
        </w:rPr>
        <w:t>.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1CF" w:rsidRPr="00E51FB8" w:rsidRDefault="00A111CF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DC5" w:rsidRDefault="006F1DC5" w:rsidP="006F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2.</w:t>
      </w:r>
      <w:r w:rsidR="00BC300B">
        <w:rPr>
          <w:rFonts w:ascii="Times New Roman" w:eastAsia="Calibri" w:hAnsi="Times New Roman" w:cs="Times New Roman"/>
          <w:sz w:val="24"/>
          <w:szCs w:val="24"/>
        </w:rPr>
        <w:t>5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 Pašvaldību teritoriju un mājokļu apsaimniekošanai plānoti līdzekļi</w:t>
      </w:r>
      <w:r w:rsidR="004D5682">
        <w:rPr>
          <w:rFonts w:ascii="Times New Roman" w:eastAsia="Calibri" w:hAnsi="Times New Roman" w:cs="Times New Roman"/>
          <w:sz w:val="24"/>
          <w:szCs w:val="24"/>
        </w:rPr>
        <w:t xml:space="preserve"> 2 447 585</w:t>
      </w:r>
      <w:r w:rsidR="00B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5682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D5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70F">
        <w:rPr>
          <w:rFonts w:ascii="Times New Roman" w:eastAsia="Calibri" w:hAnsi="Times New Roman" w:cs="Times New Roman"/>
          <w:sz w:val="24"/>
          <w:szCs w:val="24"/>
        </w:rPr>
        <w:t>(2016.gadā</w:t>
      </w:r>
      <w:r w:rsidR="000D76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53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00B">
        <w:rPr>
          <w:rFonts w:ascii="Times New Roman" w:eastAsia="Calibri" w:hAnsi="Times New Roman" w:cs="Times New Roman"/>
          <w:sz w:val="24"/>
          <w:szCs w:val="24"/>
        </w:rPr>
        <w:t>1</w:t>
      </w:r>
      <w:r w:rsidR="00A630D5">
        <w:rPr>
          <w:rFonts w:ascii="Times New Roman" w:eastAsia="Calibri" w:hAnsi="Times New Roman" w:cs="Times New Roman"/>
          <w:sz w:val="24"/>
          <w:szCs w:val="24"/>
        </w:rPr>
        <w:t> </w:t>
      </w:r>
      <w:r w:rsidR="00BC300B">
        <w:rPr>
          <w:rFonts w:ascii="Times New Roman" w:eastAsia="Calibri" w:hAnsi="Times New Roman" w:cs="Times New Roman"/>
          <w:sz w:val="24"/>
          <w:szCs w:val="24"/>
        </w:rPr>
        <w:t>264</w:t>
      </w:r>
      <w:r w:rsidR="00A6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321">
        <w:rPr>
          <w:rFonts w:ascii="Times New Roman" w:eastAsia="Calibri" w:hAnsi="Times New Roman" w:cs="Times New Roman"/>
          <w:sz w:val="24"/>
          <w:szCs w:val="24"/>
        </w:rPr>
        <w:t>472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D5682" w:rsidRPr="004D5682">
        <w:rPr>
          <w:rFonts w:ascii="Times New Roman" w:eastAsia="Calibri" w:hAnsi="Times New Roman" w:cs="Times New Roman"/>
          <w:sz w:val="24"/>
          <w:szCs w:val="24"/>
        </w:rPr>
        <w:t>)</w:t>
      </w:r>
      <w:r w:rsidR="008807ED" w:rsidRPr="004D5682">
        <w:rPr>
          <w:rFonts w:ascii="Times New Roman" w:eastAsia="Calibri" w:hAnsi="Times New Roman" w:cs="Times New Roman"/>
          <w:sz w:val="24"/>
          <w:szCs w:val="24"/>
        </w:rPr>
        <w:t>.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Šīs sadaļas izdevumi ir dzīvojamo un nedzīvojamo ēk</w:t>
      </w:r>
      <w:r w:rsidR="00610321">
        <w:rPr>
          <w:rFonts w:ascii="Times New Roman" w:eastAsia="Calibri" w:hAnsi="Times New Roman" w:cs="Times New Roman"/>
          <w:sz w:val="24"/>
          <w:szCs w:val="24"/>
        </w:rPr>
        <w:t>u apsaimniekošana un uzturēšana</w:t>
      </w:r>
      <w:r w:rsidR="00275070">
        <w:rPr>
          <w:rFonts w:ascii="Times New Roman" w:eastAsia="Calibri" w:hAnsi="Times New Roman" w:cs="Times New Roman"/>
          <w:sz w:val="24"/>
          <w:szCs w:val="24"/>
        </w:rPr>
        <w:t>: plānots būvēt malkas šķūni Lielā ielā 38 Kandavā</w:t>
      </w:r>
      <w:r w:rsidR="007244B3">
        <w:rPr>
          <w:rFonts w:ascii="Times New Roman" w:eastAsia="Calibri" w:hAnsi="Times New Roman" w:cs="Times New Roman"/>
          <w:sz w:val="24"/>
          <w:szCs w:val="24"/>
        </w:rPr>
        <w:t>,</w:t>
      </w:r>
      <w:r w:rsidR="004E2113">
        <w:rPr>
          <w:rFonts w:ascii="Times New Roman" w:eastAsia="Calibri" w:hAnsi="Times New Roman" w:cs="Times New Roman"/>
          <w:sz w:val="24"/>
          <w:szCs w:val="24"/>
        </w:rPr>
        <w:t xml:space="preserve"> rekonstruēt siltumapgādes sistēmu Apiņu ielā Kandavā</w:t>
      </w:r>
      <w:r w:rsidR="00610321">
        <w:rPr>
          <w:rFonts w:ascii="Times New Roman" w:eastAsia="Calibri" w:hAnsi="Times New Roman" w:cs="Times New Roman"/>
          <w:sz w:val="24"/>
          <w:szCs w:val="24"/>
        </w:rPr>
        <w:t>;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apgaismošanas izdevumi</w:t>
      </w:r>
      <w:r w:rsidR="00275070">
        <w:rPr>
          <w:rFonts w:ascii="Times New Roman" w:eastAsia="Calibri" w:hAnsi="Times New Roman" w:cs="Times New Roman"/>
          <w:sz w:val="24"/>
          <w:szCs w:val="24"/>
        </w:rPr>
        <w:t>: plānota ielu apgaismojuma izbūve Valteru, Sēravotu un Kūrorta ielās Kandavā un Cērē uz estrādi</w:t>
      </w:r>
      <w:r w:rsidR="00610321">
        <w:rPr>
          <w:rFonts w:ascii="Times New Roman" w:eastAsia="Calibri" w:hAnsi="Times New Roman" w:cs="Times New Roman"/>
          <w:sz w:val="24"/>
          <w:szCs w:val="24"/>
        </w:rPr>
        <w:t>;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teritorij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uzturēšanas izdevumi (stādījumi,  pilsētas un pagastu dekorēšana,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kapsētu apsaimniekošana;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kāpņu, s</w:t>
      </w:r>
      <w:r>
        <w:rPr>
          <w:rFonts w:ascii="Times New Roman" w:eastAsia="Calibri" w:hAnsi="Times New Roman" w:cs="Times New Roman"/>
          <w:sz w:val="24"/>
          <w:szCs w:val="24"/>
        </w:rPr>
        <w:t>oliņu remonti utt.).</w:t>
      </w:r>
      <w:r w:rsidR="00A630D5">
        <w:rPr>
          <w:rFonts w:ascii="Times New Roman" w:eastAsia="Calibri" w:hAnsi="Times New Roman" w:cs="Times New Roman"/>
          <w:sz w:val="24"/>
          <w:szCs w:val="24"/>
        </w:rPr>
        <w:t xml:space="preserve"> Zemītes pagastā plānots remontēt estrādi.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Nozīmīg</w:t>
      </w:r>
      <w:r w:rsidR="00A630D5">
        <w:rPr>
          <w:rFonts w:ascii="Times New Roman" w:eastAsia="Calibri" w:hAnsi="Times New Roman" w:cs="Times New Roman"/>
          <w:sz w:val="24"/>
          <w:szCs w:val="24"/>
        </w:rPr>
        <w:t>s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 w:rsidR="00A630D5">
        <w:rPr>
          <w:rFonts w:ascii="Times New Roman" w:eastAsia="Calibri" w:hAnsi="Times New Roman" w:cs="Times New Roman"/>
          <w:sz w:val="24"/>
          <w:szCs w:val="24"/>
        </w:rPr>
        <w:t>s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Pr="006F1DC5">
        <w:rPr>
          <w:rFonts w:ascii="Times New Roman" w:eastAsia="Calibri" w:hAnsi="Times New Roman" w:cs="Times New Roman"/>
          <w:sz w:val="24"/>
          <w:szCs w:val="24"/>
        </w:rPr>
        <w:t xml:space="preserve">pasākumā “ Pamatpakalpojumi un ciematu atjaunošana lauku apvidos” par </w:t>
      </w:r>
      <w:r w:rsidR="00A630D5">
        <w:rPr>
          <w:rFonts w:ascii="Times New Roman" w:eastAsia="Calibri" w:hAnsi="Times New Roman" w:cs="Times New Roman"/>
          <w:sz w:val="24"/>
          <w:szCs w:val="24"/>
        </w:rPr>
        <w:t>1 444 444</w:t>
      </w:r>
      <w:r w:rsidRPr="006F1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1DC5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6F1DC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4E21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2113">
        <w:rPr>
          <w:rFonts w:ascii="Times New Roman" w:eastAsia="Calibri" w:hAnsi="Times New Roman" w:cs="Times New Roman"/>
          <w:sz w:val="24"/>
          <w:szCs w:val="24"/>
        </w:rPr>
        <w:t xml:space="preserve">Plānoto darbu izpildei plānots ņemt aizdevumus Valsts Kasē par kopējo summu 1 571 756 </w:t>
      </w:r>
      <w:proofErr w:type="spellStart"/>
      <w:r w:rsidR="004E2113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E21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2113">
        <w:rPr>
          <w:rFonts w:ascii="Times New Roman" w:eastAsia="Calibri" w:hAnsi="Times New Roman" w:cs="Times New Roman"/>
          <w:sz w:val="24"/>
          <w:szCs w:val="24"/>
        </w:rPr>
        <w:t>apjomā.</w:t>
      </w:r>
    </w:p>
    <w:p w:rsidR="00A111CF" w:rsidRPr="004E2113" w:rsidRDefault="00A111CF" w:rsidP="006F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DC5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2.</w:t>
      </w:r>
      <w:r w:rsidR="00BC300B">
        <w:rPr>
          <w:rFonts w:ascii="Times New Roman" w:eastAsia="Calibri" w:hAnsi="Times New Roman" w:cs="Times New Roman"/>
          <w:sz w:val="24"/>
          <w:szCs w:val="24"/>
        </w:rPr>
        <w:t>6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 Veselības aprūpes atbalstam ieplānoti </w:t>
      </w:r>
      <w:r w:rsidR="00A630D5">
        <w:rPr>
          <w:rFonts w:ascii="Times New Roman" w:eastAsia="Calibri" w:hAnsi="Times New Roman" w:cs="Times New Roman"/>
          <w:sz w:val="24"/>
          <w:szCs w:val="24"/>
        </w:rPr>
        <w:t>4</w:t>
      </w:r>
      <w:r w:rsidR="006F1DC5">
        <w:rPr>
          <w:rFonts w:ascii="Times New Roman" w:eastAsia="Calibri" w:hAnsi="Times New Roman" w:cs="Times New Roman"/>
          <w:sz w:val="24"/>
          <w:szCs w:val="24"/>
        </w:rPr>
        <w:t>5 000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 Izdevumi plānoti </w:t>
      </w:r>
      <w:r w:rsidR="00A630D5">
        <w:rPr>
          <w:rFonts w:ascii="Times New Roman" w:eastAsia="Calibri" w:hAnsi="Times New Roman" w:cs="Times New Roman"/>
          <w:sz w:val="24"/>
          <w:szCs w:val="24"/>
        </w:rPr>
        <w:t>Kandavas poliklīnik</w:t>
      </w:r>
      <w:r w:rsidR="004E2113">
        <w:rPr>
          <w:rFonts w:ascii="Times New Roman" w:eastAsia="Calibri" w:hAnsi="Times New Roman" w:cs="Times New Roman"/>
          <w:sz w:val="24"/>
          <w:szCs w:val="24"/>
        </w:rPr>
        <w:t>as koplietošanas telpu remontam, finansējums – Valsts Kases aizdevums.</w:t>
      </w:r>
    </w:p>
    <w:p w:rsidR="00A111CF" w:rsidRDefault="00A111CF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Default="008807ED" w:rsidP="00571D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2.</w:t>
      </w:r>
      <w:r w:rsidR="00BC300B">
        <w:rPr>
          <w:rFonts w:ascii="Times New Roman" w:eastAsia="Calibri" w:hAnsi="Times New Roman" w:cs="Times New Roman"/>
          <w:sz w:val="24"/>
          <w:szCs w:val="24"/>
        </w:rPr>
        <w:t>7</w:t>
      </w:r>
      <w:r w:rsidRPr="00E51FB8">
        <w:rPr>
          <w:rFonts w:ascii="Times New Roman" w:eastAsia="Calibri" w:hAnsi="Times New Roman" w:cs="Times New Roman"/>
          <w:sz w:val="24"/>
          <w:szCs w:val="24"/>
        </w:rPr>
        <w:t>. Atpūta, kultūra</w:t>
      </w:r>
      <w:r w:rsidR="006F1DC5">
        <w:rPr>
          <w:rFonts w:ascii="Times New Roman" w:eastAsia="Calibri" w:hAnsi="Times New Roman" w:cs="Times New Roman"/>
          <w:sz w:val="24"/>
          <w:szCs w:val="24"/>
        </w:rPr>
        <w:t>, sports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un atbalsts biedrībām un nodibināju</w:t>
      </w:r>
      <w:r w:rsidR="006F1DC5">
        <w:rPr>
          <w:rFonts w:ascii="Times New Roman" w:eastAsia="Calibri" w:hAnsi="Times New Roman" w:cs="Times New Roman"/>
          <w:sz w:val="24"/>
          <w:szCs w:val="24"/>
        </w:rPr>
        <w:t xml:space="preserve">miem. Plānoti līdzekļi </w:t>
      </w:r>
      <w:r w:rsidR="00A630D5">
        <w:rPr>
          <w:rFonts w:ascii="Times New Roman" w:eastAsia="Calibri" w:hAnsi="Times New Roman" w:cs="Times New Roman"/>
          <w:sz w:val="24"/>
          <w:szCs w:val="24"/>
        </w:rPr>
        <w:t xml:space="preserve">1 006 203 </w:t>
      </w:r>
      <w:proofErr w:type="spellStart"/>
      <w:r w:rsidR="00A630D5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630D5">
        <w:rPr>
          <w:rFonts w:ascii="Times New Roman" w:eastAsia="Calibri" w:hAnsi="Times New Roman" w:cs="Times New Roman"/>
          <w:sz w:val="24"/>
          <w:szCs w:val="24"/>
        </w:rPr>
        <w:t xml:space="preserve"> (2016.gadā - </w:t>
      </w:r>
      <w:r w:rsidR="006F1DC5">
        <w:rPr>
          <w:rFonts w:ascii="Times New Roman" w:eastAsia="Calibri" w:hAnsi="Times New Roman" w:cs="Times New Roman"/>
          <w:sz w:val="24"/>
          <w:szCs w:val="24"/>
        </w:rPr>
        <w:t>1 156 683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630D5" w:rsidRPr="00A630D5">
        <w:rPr>
          <w:rFonts w:ascii="Times New Roman" w:eastAsia="Calibri" w:hAnsi="Times New Roman" w:cs="Times New Roman"/>
          <w:sz w:val="24"/>
          <w:szCs w:val="24"/>
        </w:rPr>
        <w:t>)</w:t>
      </w:r>
      <w:r w:rsidRPr="00A630D5">
        <w:rPr>
          <w:rFonts w:ascii="Times New Roman" w:eastAsia="Calibri" w:hAnsi="Times New Roman" w:cs="Times New Roman"/>
          <w:sz w:val="24"/>
          <w:szCs w:val="24"/>
        </w:rPr>
        <w:t>.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0D5">
        <w:rPr>
          <w:rFonts w:ascii="Times New Roman" w:eastAsia="Calibri" w:hAnsi="Times New Roman" w:cs="Times New Roman"/>
          <w:sz w:val="24"/>
          <w:szCs w:val="24"/>
        </w:rPr>
        <w:t>Samazinājums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A630D5">
        <w:rPr>
          <w:rFonts w:ascii="Times New Roman" w:eastAsia="Calibri" w:hAnsi="Times New Roman" w:cs="Times New Roman"/>
          <w:sz w:val="24"/>
          <w:szCs w:val="24"/>
        </w:rPr>
        <w:t xml:space="preserve">150 480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Atbalsts novada biedrībām</w:t>
      </w:r>
      <w:r w:rsidR="005F54F5">
        <w:rPr>
          <w:rFonts w:ascii="Times New Roman" w:eastAsia="Calibri" w:hAnsi="Times New Roman" w:cs="Times New Roman"/>
          <w:sz w:val="24"/>
          <w:szCs w:val="24"/>
        </w:rPr>
        <w:t xml:space="preserve"> un nodibinājumiem plānoti </w:t>
      </w:r>
      <w:r w:rsidR="00A630D5">
        <w:rPr>
          <w:rFonts w:ascii="Times New Roman" w:eastAsia="Calibri" w:hAnsi="Times New Roman" w:cs="Times New Roman"/>
          <w:sz w:val="24"/>
          <w:szCs w:val="24"/>
        </w:rPr>
        <w:t>94</w:t>
      </w:r>
      <w:r w:rsidR="00F33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0D5">
        <w:rPr>
          <w:rFonts w:ascii="Times New Roman" w:eastAsia="Calibri" w:hAnsi="Times New Roman" w:cs="Times New Roman"/>
          <w:sz w:val="24"/>
          <w:szCs w:val="24"/>
        </w:rPr>
        <w:t xml:space="preserve">459 </w:t>
      </w:r>
      <w:proofErr w:type="spellStart"/>
      <w:r w:rsidR="00A630D5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6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7D6">
        <w:rPr>
          <w:rFonts w:ascii="Times New Roman" w:eastAsia="Calibri" w:hAnsi="Times New Roman" w:cs="Times New Roman"/>
          <w:sz w:val="24"/>
          <w:szCs w:val="24"/>
        </w:rPr>
        <w:t xml:space="preserve">(2016.gadā - </w:t>
      </w:r>
      <w:r w:rsidR="005F54F5">
        <w:rPr>
          <w:rFonts w:ascii="Times New Roman" w:eastAsia="Calibri" w:hAnsi="Times New Roman" w:cs="Times New Roman"/>
          <w:sz w:val="24"/>
          <w:szCs w:val="24"/>
        </w:rPr>
        <w:t>83 146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337D6" w:rsidRPr="00F337D6">
        <w:rPr>
          <w:rFonts w:ascii="Times New Roman" w:eastAsia="Calibri" w:hAnsi="Times New Roman" w:cs="Times New Roman"/>
          <w:sz w:val="24"/>
          <w:szCs w:val="24"/>
        </w:rPr>
        <w:t>)</w:t>
      </w:r>
      <w:r w:rsidRPr="00E51FB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71D38" w:rsidRPr="00571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D38">
        <w:rPr>
          <w:rFonts w:ascii="Times New Roman" w:eastAsia="Calibri" w:hAnsi="Times New Roman" w:cs="Times New Roman"/>
          <w:sz w:val="24"/>
          <w:szCs w:val="24"/>
        </w:rPr>
        <w:t>201</w:t>
      </w:r>
      <w:r w:rsidR="004E2113">
        <w:rPr>
          <w:rFonts w:ascii="Times New Roman" w:eastAsia="Calibri" w:hAnsi="Times New Roman" w:cs="Times New Roman"/>
          <w:sz w:val="24"/>
          <w:szCs w:val="24"/>
        </w:rPr>
        <w:t>7</w:t>
      </w:r>
      <w:r w:rsidR="00571D38">
        <w:rPr>
          <w:rFonts w:ascii="Times New Roman" w:eastAsia="Calibri" w:hAnsi="Times New Roman" w:cs="Times New Roman"/>
          <w:sz w:val="24"/>
          <w:szCs w:val="24"/>
        </w:rPr>
        <w:t>.gadā plānot</w:t>
      </w:r>
      <w:r w:rsidR="004E2113">
        <w:rPr>
          <w:rFonts w:ascii="Times New Roman" w:eastAsia="Calibri" w:hAnsi="Times New Roman" w:cs="Times New Roman"/>
          <w:sz w:val="24"/>
          <w:szCs w:val="24"/>
        </w:rPr>
        <w:t>s turpināt</w:t>
      </w:r>
      <w:r w:rsidR="00571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113">
        <w:rPr>
          <w:rFonts w:ascii="Times New Roman" w:eastAsia="Calibri" w:hAnsi="Times New Roman" w:cs="Times New Roman"/>
          <w:sz w:val="24"/>
          <w:szCs w:val="24"/>
        </w:rPr>
        <w:t>Ozolāju estrādes labiekārtošanu par aizņēmuma līdzekļiem 30 000</w:t>
      </w:r>
      <w:r w:rsidR="00571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1D38" w:rsidRPr="006F1DC5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E21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2113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F27FF5">
        <w:rPr>
          <w:rFonts w:ascii="Times New Roman" w:eastAsia="Calibri" w:hAnsi="Times New Roman" w:cs="Times New Roman"/>
          <w:sz w:val="24"/>
          <w:szCs w:val="24"/>
        </w:rPr>
        <w:t xml:space="preserve">parka pie Kandavas </w:t>
      </w:r>
      <w:proofErr w:type="spellStart"/>
      <w:r w:rsidR="00F27FF5">
        <w:rPr>
          <w:rFonts w:ascii="Times New Roman" w:eastAsia="Calibri" w:hAnsi="Times New Roman" w:cs="Times New Roman"/>
          <w:sz w:val="24"/>
          <w:szCs w:val="24"/>
        </w:rPr>
        <w:t>K.Mīlen</w:t>
      </w:r>
      <w:r w:rsidR="00A111CF">
        <w:rPr>
          <w:rFonts w:ascii="Times New Roman" w:eastAsia="Calibri" w:hAnsi="Times New Roman" w:cs="Times New Roman"/>
          <w:sz w:val="24"/>
          <w:szCs w:val="24"/>
        </w:rPr>
        <w:t>baha</w:t>
      </w:r>
      <w:proofErr w:type="spellEnd"/>
      <w:r w:rsidR="00A111CF">
        <w:rPr>
          <w:rFonts w:ascii="Times New Roman" w:eastAsia="Calibri" w:hAnsi="Times New Roman" w:cs="Times New Roman"/>
          <w:sz w:val="24"/>
          <w:szCs w:val="24"/>
        </w:rPr>
        <w:t xml:space="preserve"> vidusskolas labiekārtošana</w:t>
      </w:r>
      <w:r w:rsidR="00F27FF5">
        <w:rPr>
          <w:rFonts w:ascii="Times New Roman" w:eastAsia="Calibri" w:hAnsi="Times New Roman" w:cs="Times New Roman"/>
          <w:sz w:val="24"/>
          <w:szCs w:val="24"/>
        </w:rPr>
        <w:t xml:space="preserve"> no projekta līdzekļiem 22</w:t>
      </w:r>
      <w:r w:rsidR="002A7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FF5">
        <w:rPr>
          <w:rFonts w:ascii="Times New Roman" w:eastAsia="Calibri" w:hAnsi="Times New Roman" w:cs="Times New Roman"/>
          <w:sz w:val="24"/>
          <w:szCs w:val="24"/>
        </w:rPr>
        <w:t xml:space="preserve">500 </w:t>
      </w:r>
      <w:proofErr w:type="spellStart"/>
      <w:r w:rsidR="00F27FF5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27F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27FF5">
        <w:rPr>
          <w:rFonts w:ascii="Times New Roman" w:eastAsia="Calibri" w:hAnsi="Times New Roman" w:cs="Times New Roman"/>
          <w:sz w:val="24"/>
          <w:szCs w:val="24"/>
        </w:rPr>
        <w:t>un Valsts Kases aizdevum</w:t>
      </w:r>
      <w:r w:rsidR="002A7CD7">
        <w:rPr>
          <w:rFonts w:ascii="Times New Roman" w:eastAsia="Calibri" w:hAnsi="Times New Roman" w:cs="Times New Roman"/>
          <w:sz w:val="24"/>
          <w:szCs w:val="24"/>
        </w:rPr>
        <w:t>a</w:t>
      </w:r>
      <w:r w:rsidR="00F27FF5">
        <w:rPr>
          <w:rFonts w:ascii="Times New Roman" w:eastAsia="Calibri" w:hAnsi="Times New Roman" w:cs="Times New Roman"/>
          <w:sz w:val="24"/>
          <w:szCs w:val="24"/>
        </w:rPr>
        <w:t xml:space="preserve"> 51</w:t>
      </w:r>
      <w:r w:rsidR="002A7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FF5">
        <w:rPr>
          <w:rFonts w:ascii="Times New Roman" w:eastAsia="Calibri" w:hAnsi="Times New Roman" w:cs="Times New Roman"/>
          <w:sz w:val="24"/>
          <w:szCs w:val="24"/>
        </w:rPr>
        <w:t xml:space="preserve">608 </w:t>
      </w:r>
      <w:proofErr w:type="spellStart"/>
      <w:r w:rsidR="00F27FF5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571D3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3555D">
        <w:rPr>
          <w:rFonts w:ascii="Times New Roman" w:eastAsia="Calibri" w:hAnsi="Times New Roman" w:cs="Times New Roman"/>
          <w:sz w:val="24"/>
          <w:szCs w:val="24"/>
        </w:rPr>
        <w:t xml:space="preserve"> Īstenojot Eiropas Savienības līdzfinansētos projektus, tiks izveidots Valodas pagrabs Kandavas muzejā; pilnveidos brīvā laika atpūtas kompleks</w:t>
      </w:r>
      <w:r w:rsidR="00A111CF">
        <w:rPr>
          <w:rFonts w:ascii="Times New Roman" w:eastAsia="Calibri" w:hAnsi="Times New Roman" w:cs="Times New Roman"/>
          <w:sz w:val="24"/>
          <w:szCs w:val="24"/>
        </w:rPr>
        <w:t>u</w:t>
      </w:r>
      <w:r w:rsidR="00C3555D">
        <w:rPr>
          <w:rFonts w:ascii="Times New Roman" w:eastAsia="Calibri" w:hAnsi="Times New Roman" w:cs="Times New Roman"/>
          <w:sz w:val="24"/>
          <w:szCs w:val="24"/>
        </w:rPr>
        <w:t xml:space="preserve"> pie Zantes pamatskolas; </w:t>
      </w:r>
      <w:r w:rsidR="00A111CF">
        <w:rPr>
          <w:rFonts w:ascii="Times New Roman" w:eastAsia="Calibri" w:hAnsi="Times New Roman" w:cs="Times New Roman"/>
          <w:sz w:val="24"/>
          <w:szCs w:val="24"/>
        </w:rPr>
        <w:t xml:space="preserve">tiks </w:t>
      </w:r>
      <w:r w:rsidR="00C3555D">
        <w:rPr>
          <w:rFonts w:ascii="Times New Roman" w:eastAsia="Calibri" w:hAnsi="Times New Roman" w:cs="Times New Roman"/>
          <w:sz w:val="24"/>
          <w:szCs w:val="24"/>
        </w:rPr>
        <w:t xml:space="preserve">iegādāti pamatlīdzekļi Kandavas kultūras namam un jauniešu centram “ Nagla”; labiekārtos </w:t>
      </w:r>
      <w:proofErr w:type="spellStart"/>
      <w:r w:rsidR="00C3555D">
        <w:rPr>
          <w:rFonts w:ascii="Times New Roman" w:eastAsia="Calibri" w:hAnsi="Times New Roman" w:cs="Times New Roman"/>
          <w:sz w:val="24"/>
          <w:szCs w:val="24"/>
        </w:rPr>
        <w:t>Čužu</w:t>
      </w:r>
      <w:proofErr w:type="spellEnd"/>
      <w:r w:rsidR="00C3555D">
        <w:rPr>
          <w:rFonts w:ascii="Times New Roman" w:eastAsia="Calibri" w:hAnsi="Times New Roman" w:cs="Times New Roman"/>
          <w:sz w:val="24"/>
          <w:szCs w:val="24"/>
        </w:rPr>
        <w:t xml:space="preserve"> purva takas; tiks realizēts projekts “ Slimību profilakses un veselības veicināšanas pasākumi Kandavas novadā”</w:t>
      </w:r>
      <w:r w:rsidR="009327A9">
        <w:rPr>
          <w:rFonts w:ascii="Times New Roman" w:eastAsia="Calibri" w:hAnsi="Times New Roman" w:cs="Times New Roman"/>
          <w:sz w:val="24"/>
          <w:szCs w:val="24"/>
        </w:rPr>
        <w:t xml:space="preserve"> un projekts </w:t>
      </w:r>
      <w:r w:rsidR="00782171">
        <w:rPr>
          <w:rFonts w:ascii="Times New Roman" w:eastAsia="Calibri" w:hAnsi="Times New Roman" w:cs="Times New Roman"/>
          <w:sz w:val="24"/>
          <w:szCs w:val="24"/>
        </w:rPr>
        <w:t>”Dzeja izdaiļo Kandavas vecpilsētu”</w:t>
      </w:r>
      <w:r w:rsidR="00C3555D">
        <w:rPr>
          <w:rFonts w:ascii="Times New Roman" w:eastAsia="Calibri" w:hAnsi="Times New Roman" w:cs="Times New Roman"/>
          <w:sz w:val="24"/>
          <w:szCs w:val="24"/>
        </w:rPr>
        <w:t>; turpināsies projekts PROTI un DARI.</w:t>
      </w:r>
      <w:r w:rsidR="009327A9">
        <w:rPr>
          <w:rFonts w:ascii="Times New Roman" w:eastAsia="Calibri" w:hAnsi="Times New Roman" w:cs="Times New Roman"/>
          <w:sz w:val="24"/>
          <w:szCs w:val="24"/>
        </w:rPr>
        <w:t xml:space="preserve"> Projektu kopējā summa 227 641 </w:t>
      </w:r>
      <w:proofErr w:type="spellStart"/>
      <w:r w:rsidR="009327A9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9327A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9327A9">
        <w:rPr>
          <w:rFonts w:ascii="Times New Roman" w:eastAsia="Calibri" w:hAnsi="Times New Roman" w:cs="Times New Roman"/>
          <w:sz w:val="24"/>
          <w:szCs w:val="24"/>
        </w:rPr>
        <w:t>tai skaitā, E</w:t>
      </w:r>
      <w:r w:rsidR="00A111CF">
        <w:rPr>
          <w:rFonts w:ascii="Times New Roman" w:eastAsia="Calibri" w:hAnsi="Times New Roman" w:cs="Times New Roman"/>
          <w:sz w:val="24"/>
          <w:szCs w:val="24"/>
        </w:rPr>
        <w:t xml:space="preserve">iropas </w:t>
      </w:r>
      <w:r w:rsidR="009327A9">
        <w:rPr>
          <w:rFonts w:ascii="Times New Roman" w:eastAsia="Calibri" w:hAnsi="Times New Roman" w:cs="Times New Roman"/>
          <w:sz w:val="24"/>
          <w:szCs w:val="24"/>
        </w:rPr>
        <w:t>S</w:t>
      </w:r>
      <w:r w:rsidR="00A111CF">
        <w:rPr>
          <w:rFonts w:ascii="Times New Roman" w:eastAsia="Calibri" w:hAnsi="Times New Roman" w:cs="Times New Roman"/>
          <w:sz w:val="24"/>
          <w:szCs w:val="24"/>
        </w:rPr>
        <w:t>avienības</w:t>
      </w:r>
      <w:r w:rsidR="009327A9">
        <w:rPr>
          <w:rFonts w:ascii="Times New Roman" w:eastAsia="Calibri" w:hAnsi="Times New Roman" w:cs="Times New Roman"/>
          <w:sz w:val="24"/>
          <w:szCs w:val="24"/>
        </w:rPr>
        <w:t xml:space="preserve"> vai cits finansējums 198 590 </w:t>
      </w:r>
      <w:proofErr w:type="spellStart"/>
      <w:r w:rsidR="009327A9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9327A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327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1CF" w:rsidRPr="009327A9" w:rsidRDefault="00A111CF" w:rsidP="00571D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2.</w:t>
      </w:r>
      <w:r w:rsidR="00BC300B">
        <w:rPr>
          <w:rFonts w:ascii="Times New Roman" w:eastAsia="Calibri" w:hAnsi="Times New Roman" w:cs="Times New Roman"/>
          <w:sz w:val="24"/>
          <w:szCs w:val="24"/>
        </w:rPr>
        <w:t>8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 Izglītība. Proporcionāli vislielākais finansējums ir izglītībai </w:t>
      </w:r>
      <w:r w:rsidR="00F27FF5">
        <w:rPr>
          <w:rFonts w:ascii="Times New Roman" w:eastAsia="Calibri" w:hAnsi="Times New Roman" w:cs="Times New Roman"/>
          <w:sz w:val="24"/>
          <w:szCs w:val="24"/>
        </w:rPr>
        <w:t>5</w:t>
      </w:r>
      <w:r w:rsidR="001D76DB">
        <w:rPr>
          <w:rFonts w:ascii="Times New Roman" w:eastAsia="Calibri" w:hAnsi="Times New Roman" w:cs="Times New Roman"/>
          <w:sz w:val="24"/>
          <w:szCs w:val="24"/>
        </w:rPr>
        <w:t> 776 665</w:t>
      </w:r>
      <w:r w:rsidR="00F27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7FF5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9766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27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FB8">
        <w:rPr>
          <w:rFonts w:ascii="Times New Roman" w:eastAsia="Calibri" w:hAnsi="Times New Roman" w:cs="Times New Roman"/>
          <w:sz w:val="24"/>
          <w:szCs w:val="24"/>
        </w:rPr>
        <w:t>tai skaitā</w:t>
      </w:r>
      <w:r w:rsidR="009723B5">
        <w:rPr>
          <w:rFonts w:ascii="Times New Roman" w:eastAsia="Calibri" w:hAnsi="Times New Roman" w:cs="Times New Roman"/>
          <w:sz w:val="24"/>
          <w:szCs w:val="24"/>
        </w:rPr>
        <w:t>: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maksas pakalpojumi – </w:t>
      </w:r>
      <w:r w:rsidR="005A2D93">
        <w:rPr>
          <w:rFonts w:ascii="Times New Roman" w:eastAsia="Calibri" w:hAnsi="Times New Roman" w:cs="Times New Roman"/>
          <w:sz w:val="24"/>
          <w:szCs w:val="24"/>
        </w:rPr>
        <w:t>283</w:t>
      </w:r>
      <w:r w:rsidR="001D7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D93">
        <w:rPr>
          <w:rFonts w:ascii="Times New Roman" w:eastAsia="Calibri" w:hAnsi="Times New Roman" w:cs="Times New Roman"/>
          <w:sz w:val="24"/>
          <w:szCs w:val="24"/>
        </w:rPr>
        <w:t>328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, valsts mērķdotācijas – </w:t>
      </w:r>
      <w:r w:rsidR="005F54F5">
        <w:rPr>
          <w:rFonts w:ascii="Times New Roman" w:eastAsia="Calibri" w:hAnsi="Times New Roman" w:cs="Times New Roman"/>
          <w:sz w:val="24"/>
          <w:szCs w:val="24"/>
        </w:rPr>
        <w:t>2</w:t>
      </w:r>
      <w:r w:rsidR="001D76DB">
        <w:rPr>
          <w:rFonts w:ascii="Times New Roman" w:eastAsia="Calibri" w:hAnsi="Times New Roman" w:cs="Times New Roman"/>
          <w:sz w:val="24"/>
          <w:szCs w:val="24"/>
        </w:rPr>
        <w:t> 120 972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5F54F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F54F5">
        <w:rPr>
          <w:rFonts w:ascii="Times New Roman" w:eastAsia="Calibri" w:hAnsi="Times New Roman" w:cs="Times New Roman"/>
          <w:sz w:val="24"/>
          <w:szCs w:val="24"/>
        </w:rPr>
        <w:t xml:space="preserve"> Palielinājums kopumā ir </w:t>
      </w:r>
      <w:r w:rsidR="005A2D93">
        <w:rPr>
          <w:rFonts w:ascii="Times New Roman" w:eastAsia="Calibri" w:hAnsi="Times New Roman" w:cs="Times New Roman"/>
          <w:sz w:val="24"/>
          <w:szCs w:val="24"/>
        </w:rPr>
        <w:t>par</w:t>
      </w:r>
      <w:r w:rsidR="005F5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D93">
        <w:rPr>
          <w:rFonts w:ascii="Times New Roman" w:eastAsia="Calibri" w:hAnsi="Times New Roman" w:cs="Times New Roman"/>
          <w:sz w:val="24"/>
          <w:szCs w:val="24"/>
        </w:rPr>
        <w:t>1</w:t>
      </w:r>
      <w:r w:rsidR="001D76DB">
        <w:rPr>
          <w:rFonts w:ascii="Times New Roman" w:eastAsia="Calibri" w:hAnsi="Times New Roman" w:cs="Times New Roman"/>
          <w:sz w:val="24"/>
          <w:szCs w:val="24"/>
        </w:rPr>
        <w:t> 561 988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9766B">
        <w:rPr>
          <w:rFonts w:ascii="Times New Roman" w:eastAsia="Calibri" w:hAnsi="Times New Roman" w:cs="Times New Roman"/>
          <w:sz w:val="24"/>
          <w:szCs w:val="24"/>
        </w:rPr>
        <w:t xml:space="preserve"> 2017.gadā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ir plānots pašvaldības līdzfinansējums skolēnu ēdināšanai skolās</w:t>
      </w:r>
      <w:r w:rsidR="0021508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46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D77" w:rsidRPr="008A6C40">
        <w:rPr>
          <w:rFonts w:ascii="Times New Roman" w:eastAsia="Calibri" w:hAnsi="Times New Roman" w:cs="Times New Roman"/>
          <w:sz w:val="24"/>
          <w:szCs w:val="24"/>
        </w:rPr>
        <w:t>plānoti līdzekļi izglītojamo brīvpusdienām 6.-9. klašu audzēkņiem un 5-6 gadīgo obligātās apmācības audzēkņiem novada skolās</w:t>
      </w:r>
      <w:r w:rsidR="00A9766B" w:rsidRPr="008A6C40">
        <w:rPr>
          <w:rFonts w:ascii="Times New Roman" w:eastAsia="Calibri" w:hAnsi="Times New Roman" w:cs="Times New Roman"/>
          <w:sz w:val="24"/>
          <w:szCs w:val="24"/>
        </w:rPr>
        <w:t>;</w:t>
      </w:r>
      <w:r w:rsidR="001D0D77" w:rsidRPr="008A6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C40">
        <w:rPr>
          <w:rFonts w:ascii="Times New Roman" w:eastAsia="Calibri" w:hAnsi="Times New Roman" w:cs="Times New Roman"/>
          <w:sz w:val="24"/>
          <w:szCs w:val="24"/>
        </w:rPr>
        <w:t xml:space="preserve"> minim</w:t>
      </w:r>
      <w:r w:rsidR="001D0D77" w:rsidRPr="008A6C40">
        <w:rPr>
          <w:rFonts w:ascii="Times New Roman" w:eastAsia="Calibri" w:hAnsi="Times New Roman" w:cs="Times New Roman"/>
          <w:sz w:val="24"/>
          <w:szCs w:val="24"/>
        </w:rPr>
        <w:t>ālās darba a</w:t>
      </w:r>
      <w:r w:rsidR="009723B5" w:rsidRPr="008A6C40">
        <w:rPr>
          <w:rFonts w:ascii="Times New Roman" w:eastAsia="Calibri" w:hAnsi="Times New Roman" w:cs="Times New Roman"/>
          <w:sz w:val="24"/>
          <w:szCs w:val="24"/>
        </w:rPr>
        <w:t>lgas palielinājums</w:t>
      </w:r>
      <w:r w:rsidR="00A9766B" w:rsidRPr="008A6C40">
        <w:rPr>
          <w:rFonts w:ascii="Times New Roman" w:eastAsia="Calibri" w:hAnsi="Times New Roman" w:cs="Times New Roman"/>
          <w:sz w:val="24"/>
          <w:szCs w:val="24"/>
        </w:rPr>
        <w:t xml:space="preserve"> no 37</w:t>
      </w:r>
      <w:r w:rsidRPr="008A6C4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proofErr w:type="spellStart"/>
      <w:r w:rsidRPr="008A6C40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D0D77" w:rsidRPr="008A6C40">
        <w:rPr>
          <w:rFonts w:ascii="Times New Roman" w:eastAsia="Calibri" w:hAnsi="Times New Roman" w:cs="Times New Roman"/>
          <w:sz w:val="24"/>
          <w:szCs w:val="24"/>
        </w:rPr>
        <w:t xml:space="preserve"> uz 3</w:t>
      </w:r>
      <w:r w:rsidR="00A9766B" w:rsidRPr="008A6C40">
        <w:rPr>
          <w:rFonts w:ascii="Times New Roman" w:eastAsia="Calibri" w:hAnsi="Times New Roman" w:cs="Times New Roman"/>
          <w:sz w:val="24"/>
          <w:szCs w:val="24"/>
        </w:rPr>
        <w:t>8</w:t>
      </w:r>
      <w:r w:rsidRPr="008A6C4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proofErr w:type="spellStart"/>
      <w:r w:rsidRPr="008A6C40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9766B" w:rsidRPr="008A6C4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9C5E52" w:rsidRPr="008A6C40">
        <w:rPr>
          <w:rFonts w:ascii="Times New Roman" w:eastAsia="Calibri" w:hAnsi="Times New Roman" w:cs="Times New Roman"/>
          <w:sz w:val="24"/>
          <w:szCs w:val="24"/>
        </w:rPr>
        <w:t>finansējums atalgojumam pedagogiem, ko nefinansē no mērķdotācijām; pieaugošo izglītības un uzņēmējdarbības atbalsta centra izveidei 18</w:t>
      </w:r>
      <w:r w:rsidR="009C5E52">
        <w:rPr>
          <w:rFonts w:ascii="Times New Roman" w:eastAsia="Calibri" w:hAnsi="Times New Roman" w:cs="Times New Roman"/>
          <w:sz w:val="24"/>
          <w:szCs w:val="24"/>
        </w:rPr>
        <w:t xml:space="preserve">705 </w:t>
      </w:r>
      <w:proofErr w:type="spellStart"/>
      <w:r w:rsidR="009C5E52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9C5E5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C5E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7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3B5">
        <w:rPr>
          <w:rFonts w:ascii="Times New Roman" w:eastAsia="Calibri" w:hAnsi="Times New Roman" w:cs="Times New Roman"/>
          <w:sz w:val="24"/>
          <w:szCs w:val="24"/>
        </w:rPr>
        <w:t>201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7.gadā </w:t>
      </w:r>
      <w:r w:rsidRPr="00E51FB8">
        <w:rPr>
          <w:rFonts w:ascii="Times New Roman" w:eastAsia="Calibri" w:hAnsi="Times New Roman" w:cs="Times New Roman"/>
          <w:sz w:val="24"/>
          <w:szCs w:val="24"/>
        </w:rPr>
        <w:t>plānot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s iegādāties autobusu skolēnu pārvadāšanai par 71 402 </w:t>
      </w:r>
      <w:proofErr w:type="spellStart"/>
      <w:r w:rsidR="00782171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782171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="00571D38" w:rsidRPr="00571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D38">
        <w:rPr>
          <w:rFonts w:ascii="Times New Roman" w:eastAsia="Calibri" w:hAnsi="Times New Roman" w:cs="Times New Roman"/>
          <w:sz w:val="24"/>
          <w:szCs w:val="24"/>
        </w:rPr>
        <w:t xml:space="preserve">Kandavas 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mākslas un </w:t>
      </w:r>
      <w:r w:rsidR="00571D38">
        <w:rPr>
          <w:rFonts w:ascii="Times New Roman" w:eastAsia="Calibri" w:hAnsi="Times New Roman" w:cs="Times New Roman"/>
          <w:sz w:val="24"/>
          <w:szCs w:val="24"/>
        </w:rPr>
        <w:t xml:space="preserve">mūzikas skolas 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telpu pārbūve </w:t>
      </w:r>
      <w:r w:rsidR="00571D38">
        <w:rPr>
          <w:rFonts w:ascii="Times New Roman" w:eastAsia="Calibri" w:hAnsi="Times New Roman" w:cs="Times New Roman"/>
          <w:sz w:val="24"/>
          <w:szCs w:val="24"/>
        </w:rPr>
        <w:t xml:space="preserve">Kandavā Sabiles ielā 12 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par kopējo summu 1 355 950 </w:t>
      </w:r>
      <w:proofErr w:type="spellStart"/>
      <w:r w:rsidR="00782171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78217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782171">
        <w:rPr>
          <w:rFonts w:ascii="Times New Roman" w:eastAsia="Calibri" w:hAnsi="Times New Roman" w:cs="Times New Roman"/>
          <w:sz w:val="24"/>
          <w:szCs w:val="24"/>
        </w:rPr>
        <w:t>tai skaitā, aizņēmuma līdzekļi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– 1 329 960 </w:t>
      </w:r>
      <w:proofErr w:type="spellStart"/>
      <w:r w:rsidR="00782171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782171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="00782171" w:rsidRPr="00782171">
        <w:rPr>
          <w:rFonts w:ascii="Times New Roman" w:eastAsia="Calibri" w:hAnsi="Times New Roman" w:cs="Times New Roman"/>
          <w:sz w:val="24"/>
          <w:szCs w:val="24"/>
        </w:rPr>
        <w:t>sanitāro mezglu remonts</w:t>
      </w:r>
      <w:r w:rsidR="007821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Vānes pamatskolā (15 000 </w:t>
      </w:r>
      <w:proofErr w:type="spellStart"/>
      <w:r w:rsidR="00782171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DD76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D7614">
        <w:rPr>
          <w:rFonts w:ascii="Times New Roman" w:eastAsia="Calibri" w:hAnsi="Times New Roman" w:cs="Times New Roman"/>
          <w:sz w:val="24"/>
          <w:szCs w:val="24"/>
        </w:rPr>
        <w:t>aizņēmuma līdzekļi</w:t>
      </w:r>
      <w:r w:rsidR="00782171">
        <w:rPr>
          <w:rFonts w:ascii="Times New Roman" w:eastAsia="Calibri" w:hAnsi="Times New Roman" w:cs="Times New Roman"/>
          <w:sz w:val="24"/>
          <w:szCs w:val="24"/>
        </w:rPr>
        <w:t>)</w:t>
      </w:r>
      <w:r w:rsidR="00B074F1">
        <w:rPr>
          <w:rFonts w:ascii="Times New Roman" w:eastAsia="Calibri" w:hAnsi="Times New Roman" w:cs="Times New Roman"/>
          <w:sz w:val="24"/>
          <w:szCs w:val="24"/>
        </w:rPr>
        <w:t>,</w:t>
      </w:r>
      <w:r w:rsidR="00B074F1" w:rsidRPr="001C449A">
        <w:rPr>
          <w:rFonts w:ascii="Times New Roman" w:eastAsia="Calibri" w:hAnsi="Times New Roman" w:cs="Times New Roman"/>
          <w:sz w:val="24"/>
          <w:szCs w:val="24"/>
        </w:rPr>
        <w:t xml:space="preserve"> Kandavas </w:t>
      </w:r>
      <w:proofErr w:type="spellStart"/>
      <w:r w:rsidR="00B074F1" w:rsidRPr="001C449A">
        <w:rPr>
          <w:rFonts w:ascii="Times New Roman" w:eastAsia="Calibri" w:hAnsi="Times New Roman" w:cs="Times New Roman"/>
          <w:sz w:val="24"/>
          <w:szCs w:val="24"/>
        </w:rPr>
        <w:t>K.Mīlenbaha</w:t>
      </w:r>
      <w:proofErr w:type="spellEnd"/>
      <w:r w:rsidR="00B074F1" w:rsidRPr="001C449A">
        <w:rPr>
          <w:rFonts w:ascii="Times New Roman" w:eastAsia="Calibri" w:hAnsi="Times New Roman" w:cs="Times New Roman"/>
          <w:sz w:val="24"/>
          <w:szCs w:val="24"/>
        </w:rPr>
        <w:t xml:space="preserve"> vidusskolā</w:t>
      </w:r>
      <w:r w:rsidR="00B074F1">
        <w:rPr>
          <w:rFonts w:ascii="Times New Roman" w:eastAsia="Calibri" w:hAnsi="Times New Roman" w:cs="Times New Roman"/>
          <w:sz w:val="24"/>
          <w:szCs w:val="24"/>
        </w:rPr>
        <w:t xml:space="preserve"> kāpņu un</w:t>
      </w:r>
      <w:r w:rsidR="00B074F1" w:rsidRPr="001C449A">
        <w:rPr>
          <w:rFonts w:ascii="Times New Roman" w:eastAsia="Calibri" w:hAnsi="Times New Roman" w:cs="Times New Roman"/>
          <w:sz w:val="24"/>
          <w:szCs w:val="24"/>
        </w:rPr>
        <w:t xml:space="preserve"> sanitāro mezglu remonts</w:t>
      </w:r>
      <w:r w:rsidR="00B074F1" w:rsidRPr="001C44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74F1">
        <w:rPr>
          <w:rFonts w:ascii="Times New Roman" w:eastAsia="Calibri" w:hAnsi="Times New Roman" w:cs="Times New Roman"/>
          <w:sz w:val="24"/>
          <w:szCs w:val="24"/>
        </w:rPr>
        <w:t>(30</w:t>
      </w:r>
      <w:r w:rsidR="00B074F1" w:rsidRPr="001C449A">
        <w:rPr>
          <w:rFonts w:ascii="Times New Roman" w:eastAsia="Calibri" w:hAnsi="Times New Roman" w:cs="Times New Roman"/>
          <w:sz w:val="24"/>
          <w:szCs w:val="24"/>
        </w:rPr>
        <w:t xml:space="preserve"> 000 </w:t>
      </w:r>
      <w:proofErr w:type="spellStart"/>
      <w:r w:rsidR="00B074F1" w:rsidRPr="001C449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B074F1" w:rsidRPr="001C44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74F1" w:rsidRPr="001C449A">
        <w:rPr>
          <w:rFonts w:ascii="Times New Roman" w:eastAsia="Calibri" w:hAnsi="Times New Roman" w:cs="Times New Roman"/>
          <w:sz w:val="24"/>
          <w:szCs w:val="24"/>
        </w:rPr>
        <w:t>aizņēm</w:t>
      </w:r>
      <w:r w:rsidR="00B074F1">
        <w:rPr>
          <w:rFonts w:ascii="Times New Roman" w:eastAsia="Calibri" w:hAnsi="Times New Roman" w:cs="Times New Roman"/>
          <w:sz w:val="24"/>
          <w:szCs w:val="24"/>
        </w:rPr>
        <w:t>uma līdzekļi);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 apkures sistēmas rekonstrukcija Cēres sporta hallē </w:t>
      </w:r>
      <w:r w:rsidR="00DD7614">
        <w:rPr>
          <w:rFonts w:ascii="Times New Roman" w:eastAsia="Calibri" w:hAnsi="Times New Roman" w:cs="Times New Roman"/>
          <w:sz w:val="24"/>
          <w:szCs w:val="24"/>
        </w:rPr>
        <w:t>(</w:t>
      </w:r>
      <w:r w:rsidR="00782171">
        <w:rPr>
          <w:rFonts w:ascii="Times New Roman" w:eastAsia="Calibri" w:hAnsi="Times New Roman" w:cs="Times New Roman"/>
          <w:sz w:val="24"/>
          <w:szCs w:val="24"/>
        </w:rPr>
        <w:t xml:space="preserve">15 000 </w:t>
      </w:r>
      <w:proofErr w:type="spellStart"/>
      <w:r w:rsidR="00D2672A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D2672A" w:rsidRPr="00DD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614">
        <w:rPr>
          <w:rFonts w:ascii="Times New Roman" w:eastAsia="Calibri" w:hAnsi="Times New Roman" w:cs="Times New Roman"/>
          <w:sz w:val="24"/>
          <w:szCs w:val="24"/>
        </w:rPr>
        <w:t>aizņēmuma līdzekļi)</w:t>
      </w:r>
      <w:r w:rsidR="0078217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111CF" w:rsidRPr="00782171" w:rsidRDefault="00A111CF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2.</w:t>
      </w:r>
      <w:r w:rsidR="00BC300B">
        <w:rPr>
          <w:rFonts w:ascii="Times New Roman" w:eastAsia="Calibri" w:hAnsi="Times New Roman" w:cs="Times New Roman"/>
          <w:sz w:val="24"/>
          <w:szCs w:val="24"/>
        </w:rPr>
        <w:t>9</w:t>
      </w:r>
      <w:r w:rsidRPr="00E51FB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FB8">
        <w:rPr>
          <w:rFonts w:ascii="Times New Roman" w:eastAsia="Calibri" w:hAnsi="Times New Roman" w:cs="Times New Roman"/>
          <w:sz w:val="24"/>
          <w:szCs w:val="24"/>
        </w:rPr>
        <w:t>Sociālā palīdzība un sociālie pak</w:t>
      </w:r>
      <w:r w:rsidR="00571D38">
        <w:rPr>
          <w:rFonts w:ascii="Times New Roman" w:eastAsia="Calibri" w:hAnsi="Times New Roman" w:cs="Times New Roman"/>
          <w:sz w:val="24"/>
          <w:szCs w:val="24"/>
        </w:rPr>
        <w:t xml:space="preserve">alpojumi. Plānotie līdzekļi </w:t>
      </w:r>
      <w:r w:rsidR="00D2672A">
        <w:rPr>
          <w:rFonts w:ascii="Times New Roman" w:eastAsia="Calibri" w:hAnsi="Times New Roman" w:cs="Times New Roman"/>
          <w:sz w:val="24"/>
          <w:szCs w:val="24"/>
        </w:rPr>
        <w:t>2017.gadā ir 874</w:t>
      </w:r>
      <w:r w:rsidR="00A11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72A">
        <w:rPr>
          <w:rFonts w:ascii="Times New Roman" w:eastAsia="Calibri" w:hAnsi="Times New Roman" w:cs="Times New Roman"/>
          <w:sz w:val="24"/>
          <w:szCs w:val="24"/>
        </w:rPr>
        <w:t xml:space="preserve">564 </w:t>
      </w:r>
      <w:proofErr w:type="spellStart"/>
      <w:r w:rsidR="00D2672A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D2672A" w:rsidRPr="00DD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12">
        <w:rPr>
          <w:rFonts w:ascii="Times New Roman" w:eastAsia="Calibri" w:hAnsi="Times New Roman" w:cs="Times New Roman"/>
          <w:sz w:val="24"/>
          <w:szCs w:val="24"/>
        </w:rPr>
        <w:t>(</w:t>
      </w:r>
      <w:r w:rsidR="00571D38">
        <w:rPr>
          <w:rFonts w:ascii="Times New Roman" w:eastAsia="Calibri" w:hAnsi="Times New Roman" w:cs="Times New Roman"/>
          <w:sz w:val="24"/>
          <w:szCs w:val="24"/>
        </w:rPr>
        <w:t>2016.gadā</w:t>
      </w:r>
      <w:r w:rsidR="00F23A1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11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D38">
        <w:rPr>
          <w:rFonts w:ascii="Times New Roman" w:eastAsia="Calibri" w:hAnsi="Times New Roman" w:cs="Times New Roman"/>
          <w:sz w:val="24"/>
          <w:szCs w:val="24"/>
        </w:rPr>
        <w:t>893 785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23A12" w:rsidRPr="00F23A12">
        <w:rPr>
          <w:rFonts w:ascii="Times New Roman" w:eastAsia="Calibri" w:hAnsi="Times New Roman" w:cs="Times New Roman"/>
          <w:sz w:val="24"/>
          <w:szCs w:val="24"/>
        </w:rPr>
        <w:t>)</w:t>
      </w:r>
      <w:r w:rsidRPr="00F23A12">
        <w:rPr>
          <w:rFonts w:ascii="Times New Roman" w:eastAsia="Calibri" w:hAnsi="Times New Roman" w:cs="Times New Roman"/>
          <w:sz w:val="24"/>
          <w:szCs w:val="24"/>
        </w:rPr>
        <w:t>,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kas ir par </w:t>
      </w:r>
      <w:r w:rsidR="00F23A12">
        <w:rPr>
          <w:rFonts w:ascii="Times New Roman" w:eastAsia="Calibri" w:hAnsi="Times New Roman" w:cs="Times New Roman"/>
          <w:sz w:val="24"/>
          <w:szCs w:val="24"/>
        </w:rPr>
        <w:t>2.1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9D546C">
        <w:rPr>
          <w:rFonts w:ascii="Times New Roman" w:eastAsia="Calibri" w:hAnsi="Times New Roman" w:cs="Times New Roman"/>
          <w:sz w:val="24"/>
          <w:szCs w:val="24"/>
        </w:rPr>
        <w:t>mazāk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46C">
        <w:rPr>
          <w:rFonts w:ascii="Times New Roman" w:eastAsia="Calibri" w:hAnsi="Times New Roman" w:cs="Times New Roman"/>
          <w:sz w:val="24"/>
          <w:szCs w:val="24"/>
        </w:rPr>
        <w:t>kā 201</w:t>
      </w:r>
      <w:r w:rsidR="00F23A12">
        <w:rPr>
          <w:rFonts w:ascii="Times New Roman" w:eastAsia="Calibri" w:hAnsi="Times New Roman" w:cs="Times New Roman"/>
          <w:sz w:val="24"/>
          <w:szCs w:val="24"/>
        </w:rPr>
        <w:t>6</w:t>
      </w:r>
      <w:r w:rsidRPr="00E51FB8">
        <w:rPr>
          <w:rFonts w:ascii="Times New Roman" w:eastAsia="Calibri" w:hAnsi="Times New Roman" w:cs="Times New Roman"/>
          <w:sz w:val="24"/>
          <w:szCs w:val="24"/>
        </w:rPr>
        <w:t>.gadā (</w:t>
      </w:r>
      <w:r w:rsidR="009D546C">
        <w:rPr>
          <w:rFonts w:ascii="Times New Roman" w:eastAsia="Calibri" w:hAnsi="Times New Roman" w:cs="Times New Roman"/>
          <w:sz w:val="24"/>
          <w:szCs w:val="24"/>
        </w:rPr>
        <w:t>1</w:t>
      </w:r>
      <w:r w:rsidR="00F23A12">
        <w:rPr>
          <w:rFonts w:ascii="Times New Roman" w:eastAsia="Calibri" w:hAnsi="Times New Roman" w:cs="Times New Roman"/>
          <w:sz w:val="24"/>
          <w:szCs w:val="24"/>
        </w:rPr>
        <w:t>9</w:t>
      </w:r>
      <w:r w:rsidR="009D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12">
        <w:rPr>
          <w:rFonts w:ascii="Times New Roman" w:eastAsia="Calibri" w:hAnsi="Times New Roman" w:cs="Times New Roman"/>
          <w:sz w:val="24"/>
          <w:szCs w:val="24"/>
        </w:rPr>
        <w:t>221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D546C" w:rsidRPr="00E51FB8" w:rsidRDefault="009D546C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Default="009D546C" w:rsidP="009D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Kandavas novada pašvaldības s</w:t>
      </w:r>
      <w:r w:rsidR="008807ED" w:rsidRPr="00E51FB8">
        <w:rPr>
          <w:rFonts w:ascii="Times New Roman" w:eastAsia="Calibri" w:hAnsi="Times New Roman" w:cs="Times New Roman"/>
          <w:b/>
          <w:sz w:val="24"/>
          <w:szCs w:val="24"/>
        </w:rPr>
        <w:t>peciālais budžets</w:t>
      </w:r>
    </w:p>
    <w:p w:rsidR="00BC300B" w:rsidRPr="00E51FB8" w:rsidRDefault="00BC300B" w:rsidP="009D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46C" w:rsidRDefault="009D546C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Kandavas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novada pašvaldības speciālo budžetu veido Dabas resursu nodoklis un Autoceļa fonda ieņēmumi. Kopējie ieņēmumi ir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23A1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7 681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, izdevumi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F23A1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12">
        <w:rPr>
          <w:rFonts w:ascii="Times New Roman" w:eastAsia="Calibri" w:hAnsi="Times New Roman" w:cs="Times New Roman"/>
          <w:sz w:val="24"/>
          <w:szCs w:val="24"/>
        </w:rPr>
        <w:t>681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>, atlikums</w:t>
      </w:r>
      <w:r w:rsidR="008807ED" w:rsidRPr="00880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lastRenderedPageBreak/>
        <w:t>uz 01.01.201</w:t>
      </w:r>
      <w:r w:rsidR="00F23A1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ir</w:t>
      </w:r>
      <w:r w:rsidR="00F23A12">
        <w:rPr>
          <w:rFonts w:ascii="Times New Roman" w:eastAsia="Calibri" w:hAnsi="Times New Roman" w:cs="Times New Roman"/>
          <w:sz w:val="24"/>
          <w:szCs w:val="24"/>
        </w:rPr>
        <w:t xml:space="preserve"> 148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. Speciālā budžeta ieņēmumi un izdevumi novadā tiek plānoti centralizēti. </w:t>
      </w:r>
    </w:p>
    <w:p w:rsidR="009D546C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Dabas resursa nodokļa ieņēmumi tiek plānoti lietus ūdeņu savākšanai, attīrīšanai, </w:t>
      </w:r>
      <w:r w:rsidR="00FF4948">
        <w:rPr>
          <w:rFonts w:ascii="Times New Roman" w:eastAsia="Calibri" w:hAnsi="Times New Roman" w:cs="Times New Roman"/>
          <w:sz w:val="24"/>
          <w:szCs w:val="24"/>
        </w:rPr>
        <w:t xml:space="preserve">atkritumu savākšanai 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un citiem izdevumiem, kuri saistīti ar vides aizsardzību novadā. </w:t>
      </w:r>
    </w:p>
    <w:p w:rsidR="008807ED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Plānot</w:t>
      </w:r>
      <w:r w:rsidR="009D546C">
        <w:rPr>
          <w:rFonts w:ascii="Times New Roman" w:eastAsia="Calibri" w:hAnsi="Times New Roman" w:cs="Times New Roman"/>
          <w:sz w:val="24"/>
          <w:szCs w:val="24"/>
        </w:rPr>
        <w:t>ie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autoceļa fonda ieņēmum</w:t>
      </w:r>
      <w:r w:rsidR="009D546C">
        <w:rPr>
          <w:rFonts w:ascii="Times New Roman" w:eastAsia="Calibri" w:hAnsi="Times New Roman" w:cs="Times New Roman"/>
          <w:sz w:val="24"/>
          <w:szCs w:val="24"/>
        </w:rPr>
        <w:t>i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46C">
        <w:rPr>
          <w:rFonts w:ascii="Times New Roman" w:eastAsia="Calibri" w:hAnsi="Times New Roman" w:cs="Times New Roman"/>
          <w:sz w:val="24"/>
          <w:szCs w:val="24"/>
        </w:rPr>
        <w:t>201</w:t>
      </w:r>
      <w:r w:rsidR="00F23A12">
        <w:rPr>
          <w:rFonts w:ascii="Times New Roman" w:eastAsia="Calibri" w:hAnsi="Times New Roman" w:cs="Times New Roman"/>
          <w:sz w:val="24"/>
          <w:szCs w:val="24"/>
        </w:rPr>
        <w:t>7</w:t>
      </w:r>
      <w:r w:rsidR="009D546C">
        <w:rPr>
          <w:rFonts w:ascii="Times New Roman" w:eastAsia="Calibri" w:hAnsi="Times New Roman" w:cs="Times New Roman"/>
          <w:sz w:val="24"/>
          <w:szCs w:val="24"/>
        </w:rPr>
        <w:t>.gadā</w:t>
      </w:r>
      <w:r w:rsidR="002A7CD7">
        <w:rPr>
          <w:rFonts w:ascii="Times New Roman" w:eastAsia="Calibri" w:hAnsi="Times New Roman" w:cs="Times New Roman"/>
          <w:sz w:val="24"/>
          <w:szCs w:val="24"/>
        </w:rPr>
        <w:t>,</w:t>
      </w:r>
      <w:r w:rsidR="00F23A12">
        <w:rPr>
          <w:rFonts w:ascii="Times New Roman" w:eastAsia="Calibri" w:hAnsi="Times New Roman" w:cs="Times New Roman"/>
          <w:sz w:val="24"/>
          <w:szCs w:val="24"/>
        </w:rPr>
        <w:t xml:space="preserve"> tāpat kā 2016.gadā</w:t>
      </w:r>
      <w:r w:rsidR="002A7CD7">
        <w:rPr>
          <w:rFonts w:ascii="Times New Roman" w:eastAsia="Calibri" w:hAnsi="Times New Roman" w:cs="Times New Roman"/>
          <w:sz w:val="24"/>
          <w:szCs w:val="24"/>
        </w:rPr>
        <w:t>,</w:t>
      </w:r>
      <w:r w:rsidR="009D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12">
        <w:rPr>
          <w:rFonts w:ascii="Times New Roman" w:eastAsia="Calibri" w:hAnsi="Times New Roman" w:cs="Times New Roman"/>
          <w:sz w:val="24"/>
          <w:szCs w:val="24"/>
        </w:rPr>
        <w:t>ir</w:t>
      </w:r>
      <w:r w:rsidR="009D546C">
        <w:rPr>
          <w:rFonts w:ascii="Times New Roman" w:eastAsia="Calibri" w:hAnsi="Times New Roman" w:cs="Times New Roman"/>
          <w:sz w:val="24"/>
          <w:szCs w:val="24"/>
        </w:rPr>
        <w:t xml:space="preserve"> 267 681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F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23A1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D54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4794">
        <w:rPr>
          <w:rFonts w:ascii="Times New Roman" w:eastAsia="Calibri" w:hAnsi="Times New Roman" w:cs="Times New Roman"/>
          <w:sz w:val="24"/>
          <w:szCs w:val="24"/>
        </w:rPr>
        <w:t>Minētie līdzekļi paredzēti novada ceļu kopšanai.</w:t>
      </w:r>
      <w:r w:rsidR="009D54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23A12" w:rsidRDefault="00F23A12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Pr="00E51FB8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1FB8">
        <w:rPr>
          <w:rFonts w:ascii="Times New Roman" w:eastAsia="Calibri" w:hAnsi="Times New Roman" w:cs="Times New Roman"/>
          <w:i/>
          <w:sz w:val="24"/>
          <w:szCs w:val="24"/>
        </w:rPr>
        <w:t xml:space="preserve">2. Informācija par izdevumu kopējo apjomu katrā budžeta klasifikācijas kategorijā un finansējuma mērķis parādīti pielikumos </w:t>
      </w:r>
      <w:r w:rsidR="00B44794">
        <w:rPr>
          <w:rFonts w:ascii="Times New Roman" w:eastAsia="Calibri" w:hAnsi="Times New Roman" w:cs="Times New Roman"/>
          <w:i/>
          <w:sz w:val="24"/>
          <w:szCs w:val="24"/>
        </w:rPr>
        <w:t xml:space="preserve"> ( Kandavas </w:t>
      </w:r>
      <w:r w:rsidRPr="00E51FB8">
        <w:rPr>
          <w:rFonts w:ascii="Times New Roman" w:eastAsia="Calibri" w:hAnsi="Times New Roman" w:cs="Times New Roman"/>
          <w:i/>
          <w:sz w:val="24"/>
          <w:szCs w:val="24"/>
        </w:rPr>
        <w:t xml:space="preserve"> novada 201</w:t>
      </w:r>
      <w:r w:rsidR="005E73DD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E51FB8">
        <w:rPr>
          <w:rFonts w:ascii="Times New Roman" w:eastAsia="Calibri" w:hAnsi="Times New Roman" w:cs="Times New Roman"/>
          <w:i/>
          <w:sz w:val="24"/>
          <w:szCs w:val="24"/>
        </w:rPr>
        <w:t>.gada pamatbudžeta izdevumu finansēšanas plāns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B447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4794" w:rsidRPr="00D81772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D8177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44794" w:rsidRPr="00D81772">
        <w:rPr>
          <w:rFonts w:ascii="Times New Roman" w:eastAsia="Calibri" w:hAnsi="Times New Roman" w:cs="Times New Roman"/>
          <w:i/>
          <w:sz w:val="24"/>
          <w:szCs w:val="24"/>
        </w:rPr>
        <w:t xml:space="preserve">pielikums, Kandavas </w:t>
      </w:r>
      <w:r w:rsidRPr="00D81772">
        <w:rPr>
          <w:rFonts w:ascii="Times New Roman" w:eastAsia="Calibri" w:hAnsi="Times New Roman" w:cs="Times New Roman"/>
          <w:i/>
          <w:sz w:val="24"/>
          <w:szCs w:val="24"/>
        </w:rPr>
        <w:t xml:space="preserve"> novada 201</w:t>
      </w:r>
      <w:r w:rsidR="005E73DD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D81772">
        <w:rPr>
          <w:rFonts w:ascii="Times New Roman" w:eastAsia="Calibri" w:hAnsi="Times New Roman" w:cs="Times New Roman"/>
          <w:i/>
          <w:sz w:val="24"/>
          <w:szCs w:val="24"/>
        </w:rPr>
        <w:t xml:space="preserve">.gada speciālā budžeta </w:t>
      </w:r>
      <w:r w:rsidR="00B44794" w:rsidRPr="00D81772">
        <w:rPr>
          <w:rFonts w:ascii="Times New Roman" w:eastAsia="Calibri" w:hAnsi="Times New Roman" w:cs="Times New Roman"/>
          <w:i/>
          <w:sz w:val="24"/>
          <w:szCs w:val="24"/>
        </w:rPr>
        <w:t>pl</w:t>
      </w:r>
      <w:r w:rsidRPr="00D81772">
        <w:rPr>
          <w:rFonts w:ascii="Times New Roman" w:eastAsia="Calibri" w:hAnsi="Times New Roman" w:cs="Times New Roman"/>
          <w:i/>
          <w:sz w:val="24"/>
          <w:szCs w:val="24"/>
        </w:rPr>
        <w:t>āns 2.</w:t>
      </w:r>
      <w:r w:rsidR="00B44794" w:rsidRPr="00D81772">
        <w:rPr>
          <w:rFonts w:ascii="Times New Roman" w:eastAsia="Calibri" w:hAnsi="Times New Roman" w:cs="Times New Roman"/>
          <w:i/>
          <w:sz w:val="24"/>
          <w:szCs w:val="24"/>
        </w:rPr>
        <w:t>pielikums</w:t>
      </w:r>
      <w:r w:rsidRPr="00D8177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807ED" w:rsidRPr="00E51FB8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Pr="00E51FB8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1FB8">
        <w:rPr>
          <w:rFonts w:ascii="Times New Roman" w:eastAsia="Calibri" w:hAnsi="Times New Roman" w:cs="Times New Roman"/>
          <w:i/>
          <w:sz w:val="24"/>
          <w:szCs w:val="24"/>
        </w:rPr>
        <w:t xml:space="preserve">3. </w:t>
      </w:r>
      <w:r w:rsidR="00647291">
        <w:rPr>
          <w:rFonts w:ascii="Times New Roman" w:eastAsia="Calibri" w:hAnsi="Times New Roman" w:cs="Times New Roman"/>
          <w:i/>
          <w:sz w:val="24"/>
          <w:szCs w:val="24"/>
        </w:rPr>
        <w:t>Kandavas novada domes atmaksājamās saistības par aizņēmumiem 201</w:t>
      </w:r>
      <w:r w:rsidR="005E73DD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647291">
        <w:rPr>
          <w:rFonts w:ascii="Times New Roman" w:eastAsia="Calibri" w:hAnsi="Times New Roman" w:cs="Times New Roman"/>
          <w:i/>
          <w:sz w:val="24"/>
          <w:szCs w:val="24"/>
        </w:rPr>
        <w:t xml:space="preserve">.gadam </w:t>
      </w:r>
      <w:r w:rsidRPr="00D81772">
        <w:rPr>
          <w:rFonts w:ascii="Times New Roman" w:eastAsia="Calibri" w:hAnsi="Times New Roman" w:cs="Times New Roman"/>
          <w:i/>
          <w:sz w:val="24"/>
          <w:szCs w:val="24"/>
        </w:rPr>
        <w:t xml:space="preserve">parādītas </w:t>
      </w:r>
      <w:r w:rsidR="00647291" w:rsidRPr="00D817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81772" w:rsidRPr="00D81772">
        <w:rPr>
          <w:rFonts w:ascii="Times New Roman" w:eastAsia="Calibri" w:hAnsi="Times New Roman" w:cs="Times New Roman"/>
          <w:i/>
          <w:sz w:val="24"/>
          <w:szCs w:val="24"/>
        </w:rPr>
        <w:t>1.1</w:t>
      </w:r>
      <w:r w:rsidR="00647291" w:rsidRPr="00D8177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81772">
        <w:rPr>
          <w:rFonts w:ascii="Times New Roman" w:eastAsia="Calibri" w:hAnsi="Times New Roman" w:cs="Times New Roman"/>
          <w:i/>
          <w:sz w:val="24"/>
          <w:szCs w:val="24"/>
        </w:rPr>
        <w:t xml:space="preserve">pielikumā </w:t>
      </w:r>
      <w:r w:rsidR="00647291" w:rsidRPr="00D8177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807ED" w:rsidRDefault="008807ED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07ED" w:rsidRDefault="008807ED" w:rsidP="0088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lv-LV"/>
        </w:rPr>
      </w:pPr>
    </w:p>
    <w:p w:rsidR="008807ED" w:rsidRPr="003D6B09" w:rsidRDefault="00CD773A" w:rsidP="008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Kandavas novada d</w:t>
      </w:r>
      <w:r w:rsidR="00616EE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omes priekšsēdētājs  ( personiskais paraksts)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E73DD">
        <w:rPr>
          <w:rFonts w:ascii="Times New Roman" w:eastAsia="Times New Roman" w:hAnsi="Times New Roman" w:cs="Times New Roman"/>
          <w:sz w:val="24"/>
          <w:szCs w:val="24"/>
          <w:lang w:eastAsia="da-DK"/>
        </w:rPr>
        <w:t>A.Ķieģelis</w:t>
      </w:r>
      <w:proofErr w:type="spellEnd"/>
    </w:p>
    <w:p w:rsidR="008807ED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42" w:rsidRDefault="005A2942" w:rsidP="008807ED"/>
    <w:sectPr w:rsidR="005A2942" w:rsidSect="00D817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36E3"/>
    <w:multiLevelType w:val="hybridMultilevel"/>
    <w:tmpl w:val="FAC4C994"/>
    <w:lvl w:ilvl="0" w:tplc="B984B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ED"/>
    <w:rsid w:val="0000050C"/>
    <w:rsid w:val="000D7652"/>
    <w:rsid w:val="00101FD0"/>
    <w:rsid w:val="00126E83"/>
    <w:rsid w:val="00192028"/>
    <w:rsid w:val="001B6CB5"/>
    <w:rsid w:val="001C449A"/>
    <w:rsid w:val="001D0D77"/>
    <w:rsid w:val="001D76DB"/>
    <w:rsid w:val="00215084"/>
    <w:rsid w:val="00247B58"/>
    <w:rsid w:val="0025370F"/>
    <w:rsid w:val="00275070"/>
    <w:rsid w:val="002A7CD7"/>
    <w:rsid w:val="003805AE"/>
    <w:rsid w:val="003A2C05"/>
    <w:rsid w:val="00432B62"/>
    <w:rsid w:val="00434BF8"/>
    <w:rsid w:val="004526B7"/>
    <w:rsid w:val="004652FE"/>
    <w:rsid w:val="00473EA2"/>
    <w:rsid w:val="004D5682"/>
    <w:rsid w:val="004E2113"/>
    <w:rsid w:val="004E3468"/>
    <w:rsid w:val="004E49C6"/>
    <w:rsid w:val="00513CE6"/>
    <w:rsid w:val="00570B5A"/>
    <w:rsid w:val="00571D38"/>
    <w:rsid w:val="00593141"/>
    <w:rsid w:val="005A2942"/>
    <w:rsid w:val="005A2D93"/>
    <w:rsid w:val="005B3B26"/>
    <w:rsid w:val="005E73DD"/>
    <w:rsid w:val="005F54F5"/>
    <w:rsid w:val="00610321"/>
    <w:rsid w:val="00616EEF"/>
    <w:rsid w:val="006346F0"/>
    <w:rsid w:val="00644910"/>
    <w:rsid w:val="00647291"/>
    <w:rsid w:val="006B3269"/>
    <w:rsid w:val="006F1DC5"/>
    <w:rsid w:val="007244B3"/>
    <w:rsid w:val="00737348"/>
    <w:rsid w:val="007659A7"/>
    <w:rsid w:val="00782171"/>
    <w:rsid w:val="007867E3"/>
    <w:rsid w:val="00786957"/>
    <w:rsid w:val="007C3D61"/>
    <w:rsid w:val="007D407D"/>
    <w:rsid w:val="008114B0"/>
    <w:rsid w:val="00835044"/>
    <w:rsid w:val="008713D2"/>
    <w:rsid w:val="008807ED"/>
    <w:rsid w:val="008A6C40"/>
    <w:rsid w:val="008C5016"/>
    <w:rsid w:val="008D5ED5"/>
    <w:rsid w:val="0090140B"/>
    <w:rsid w:val="009073C7"/>
    <w:rsid w:val="009327A9"/>
    <w:rsid w:val="009430A0"/>
    <w:rsid w:val="009628C0"/>
    <w:rsid w:val="009723B5"/>
    <w:rsid w:val="009C5E52"/>
    <w:rsid w:val="009D546C"/>
    <w:rsid w:val="00A111CF"/>
    <w:rsid w:val="00A4457B"/>
    <w:rsid w:val="00A50B66"/>
    <w:rsid w:val="00A630D5"/>
    <w:rsid w:val="00A6534C"/>
    <w:rsid w:val="00A9766B"/>
    <w:rsid w:val="00AB0943"/>
    <w:rsid w:val="00AB15E1"/>
    <w:rsid w:val="00AE0844"/>
    <w:rsid w:val="00AF66B6"/>
    <w:rsid w:val="00AF681B"/>
    <w:rsid w:val="00B074F1"/>
    <w:rsid w:val="00B44794"/>
    <w:rsid w:val="00B46490"/>
    <w:rsid w:val="00B7124F"/>
    <w:rsid w:val="00B82444"/>
    <w:rsid w:val="00BA52BE"/>
    <w:rsid w:val="00BC103B"/>
    <w:rsid w:val="00BC300B"/>
    <w:rsid w:val="00BC4870"/>
    <w:rsid w:val="00BE3FCE"/>
    <w:rsid w:val="00C25D24"/>
    <w:rsid w:val="00C3555D"/>
    <w:rsid w:val="00CC6B1E"/>
    <w:rsid w:val="00CD2AA3"/>
    <w:rsid w:val="00CD773A"/>
    <w:rsid w:val="00CE72E8"/>
    <w:rsid w:val="00D2672A"/>
    <w:rsid w:val="00D6477A"/>
    <w:rsid w:val="00D81772"/>
    <w:rsid w:val="00D84832"/>
    <w:rsid w:val="00DC3ED7"/>
    <w:rsid w:val="00DD7614"/>
    <w:rsid w:val="00DF74D3"/>
    <w:rsid w:val="00E50A96"/>
    <w:rsid w:val="00EA6749"/>
    <w:rsid w:val="00EA7CE4"/>
    <w:rsid w:val="00F23A12"/>
    <w:rsid w:val="00F27FF5"/>
    <w:rsid w:val="00F337D6"/>
    <w:rsid w:val="00F507CF"/>
    <w:rsid w:val="00F676DE"/>
    <w:rsid w:val="00F83A5E"/>
    <w:rsid w:val="00FB3D53"/>
    <w:rsid w:val="00FB47C7"/>
    <w:rsid w:val="00FE3729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7F00-1D97-443D-9AEB-16E95AA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07E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B326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7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844391828643797"/>
          <c:w val="0.94462041928303753"/>
          <c:h val="0.879662279977240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layout>
                <c:manualLayout>
                  <c:x val="4.7144589521246789E-2"/>
                  <c:y val="-7.953379953379992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6473387820193199E-2"/>
                  <c:y val="-0.3104428904428924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341074454300807"/>
                  <c:y val="-7.734265734265734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361241237250495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j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Iedzīvotāju ienākuma nodoklis</c:v>
                </c:pt>
                <c:pt idx="1">
                  <c:v>Īpašuma nodokļi</c:v>
                </c:pt>
                <c:pt idx="2">
                  <c:v>Nenodokļu ienākumi</c:v>
                </c:pt>
                <c:pt idx="3">
                  <c:v>Maksas pakalpojumi</c:v>
                </c:pt>
                <c:pt idx="4">
                  <c:v>Valsts budžeta transferti</c:v>
                </c:pt>
                <c:pt idx="5">
                  <c:v>Pašvaldību budžetu transferti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3703650</c:v>
                </c:pt>
                <c:pt idx="1">
                  <c:v>562757</c:v>
                </c:pt>
                <c:pt idx="2">
                  <c:v>86368</c:v>
                </c:pt>
                <c:pt idx="3">
                  <c:v>288317</c:v>
                </c:pt>
                <c:pt idx="4" formatCode="#,##0">
                  <c:v>4118876</c:v>
                </c:pt>
                <c:pt idx="5">
                  <c:v>181500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1.7626383658564543E-3"/>
          <c:w val="1"/>
          <c:h val="0.9547590869632448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bubble3D val="0"/>
            <c:explosion val="7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12584391951006124"/>
                  <c:y val="7.2463768115942344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442747156605426"/>
                  <c:y val="0.136231884057971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62510309735845E-2"/>
                  <c:y val="-6.020250660246179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5503190923477084E-2"/>
                  <c:y val="4.02032531705814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4005494405385924E-2"/>
                  <c:y val="0.1068411769646407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2222222222222262"/>
                  <c:y val="0.2873280839895037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7475186520487492E-3"/>
                  <c:y val="0.160334835801674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Veselība
45000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188372703412075"/>
                  <c:y val="-0.27776925710373163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 dirty="0" smtClean="0"/>
                      <a:t>NVO, kultūra un sports</a:t>
                    </a:r>
                    <a:r>
                      <a:rPr lang="en-US" sz="900" dirty="0"/>
                      <a:t>
1006203
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6588CF8E-3C24-481D-8C2F-FD4C4182856A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; 5 822 632 </a:t>
                    </a:r>
                    <a:fld id="{1ABDA4C0-9D7F-4BC8-90B9-0F030C1E8E93}" type="PERCENTAGE">
                      <a:rPr lang="en-US" baseline="0"/>
                      <a:pPr/>
                      <a:t>[PROCENTI]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5.4974278215223112E-2"/>
                  <c:y val="6.055985393130206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Cambria" pitchFamily="18" charset="0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Pārvalde</c:v>
                </c:pt>
                <c:pt idx="1">
                  <c:v>Procentu maksājumi par aizņēmumiem</c:v>
                </c:pt>
                <c:pt idx="2">
                  <c:v>Sabiedriskā kārtība un drošība</c:v>
                </c:pt>
                <c:pt idx="3">
                  <c:v>Ekonomiskā darbība</c:v>
                </c:pt>
                <c:pt idx="4">
                  <c:v>Vides aizsardzība</c:v>
                </c:pt>
                <c:pt idx="5">
                  <c:v>Teritoriju un mājokļu apsaimniekošana</c:v>
                </c:pt>
                <c:pt idx="6">
                  <c:v>Veselība</c:v>
                </c:pt>
                <c:pt idx="7">
                  <c:v>NVO,atpūta un kultūra</c:v>
                </c:pt>
                <c:pt idx="8">
                  <c:v>Izglītība</c:v>
                </c:pt>
                <c:pt idx="9">
                  <c:v>Sociālā aizsardzība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594009</c:v>
                </c:pt>
                <c:pt idx="1">
                  <c:v>65500</c:v>
                </c:pt>
                <c:pt idx="2">
                  <c:v>163141</c:v>
                </c:pt>
                <c:pt idx="3">
                  <c:v>485772</c:v>
                </c:pt>
                <c:pt idx="4">
                  <c:v>294230</c:v>
                </c:pt>
                <c:pt idx="5">
                  <c:v>2447585</c:v>
                </c:pt>
                <c:pt idx="6">
                  <c:v>45000</c:v>
                </c:pt>
                <c:pt idx="7">
                  <c:v>1006203</c:v>
                </c:pt>
                <c:pt idx="8">
                  <c:v>5776665</c:v>
                </c:pt>
                <c:pt idx="9">
                  <c:v>874564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76FA-1B1B-48C7-BAD2-77261058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7761</Words>
  <Characters>4424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Anita</cp:lastModifiedBy>
  <cp:revision>34</cp:revision>
  <cp:lastPrinted>2017-01-25T06:44:00Z</cp:lastPrinted>
  <dcterms:created xsi:type="dcterms:W3CDTF">2016-01-27T15:14:00Z</dcterms:created>
  <dcterms:modified xsi:type="dcterms:W3CDTF">2017-02-06T12:25:00Z</dcterms:modified>
</cp:coreProperties>
</file>