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ED" w:rsidRPr="005C5623" w:rsidRDefault="008807ED" w:rsidP="009822CB">
      <w:pPr>
        <w:spacing w:after="0" w:line="240" w:lineRule="auto"/>
        <w:jc w:val="right"/>
        <w:rPr>
          <w:rFonts w:ascii="Times New Roman" w:eastAsia="Calibri" w:hAnsi="Times New Roman" w:cs="Times New Roman"/>
          <w:i/>
          <w:sz w:val="20"/>
          <w:szCs w:val="20"/>
        </w:rPr>
      </w:pPr>
      <w:r w:rsidRPr="005C5623">
        <w:rPr>
          <w:rFonts w:ascii="Times New Roman" w:eastAsia="Calibri" w:hAnsi="Times New Roman" w:cs="Times New Roman"/>
          <w:i/>
          <w:sz w:val="20"/>
          <w:szCs w:val="20"/>
        </w:rPr>
        <w:t>Pielikums</w:t>
      </w:r>
    </w:p>
    <w:p w:rsidR="009822CB" w:rsidRDefault="008C5016" w:rsidP="008807E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8807ED" w:rsidRDefault="008C5016" w:rsidP="009822C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Kandavas</w:t>
      </w:r>
      <w:r w:rsidR="009822CB">
        <w:rPr>
          <w:rFonts w:ascii="Times New Roman" w:eastAsia="Calibri" w:hAnsi="Times New Roman" w:cs="Times New Roman"/>
          <w:sz w:val="20"/>
          <w:szCs w:val="20"/>
        </w:rPr>
        <w:t xml:space="preserve"> novada domes </w:t>
      </w:r>
      <w:r w:rsidR="008807ED">
        <w:rPr>
          <w:rFonts w:ascii="Times New Roman" w:eastAsia="Calibri" w:hAnsi="Times New Roman" w:cs="Times New Roman"/>
          <w:sz w:val="20"/>
          <w:szCs w:val="20"/>
        </w:rPr>
        <w:t>201</w:t>
      </w:r>
      <w:r>
        <w:rPr>
          <w:rFonts w:ascii="Times New Roman" w:eastAsia="Calibri" w:hAnsi="Times New Roman" w:cs="Times New Roman"/>
          <w:sz w:val="20"/>
          <w:szCs w:val="20"/>
        </w:rPr>
        <w:t>6</w:t>
      </w:r>
      <w:r w:rsidR="008807ED">
        <w:rPr>
          <w:rFonts w:ascii="Times New Roman" w:eastAsia="Calibri" w:hAnsi="Times New Roman" w:cs="Times New Roman"/>
          <w:sz w:val="20"/>
          <w:szCs w:val="20"/>
        </w:rPr>
        <w:t>.</w:t>
      </w:r>
      <w:r w:rsidR="009822CB">
        <w:rPr>
          <w:rFonts w:ascii="Times New Roman" w:eastAsia="Calibri" w:hAnsi="Times New Roman" w:cs="Times New Roman"/>
          <w:sz w:val="20"/>
          <w:szCs w:val="20"/>
        </w:rPr>
        <w:t xml:space="preserve">gada 28.janvāra </w:t>
      </w:r>
    </w:p>
    <w:p w:rsidR="009822CB" w:rsidRDefault="009822CB" w:rsidP="008807E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saistošajiem noteikumiem Nr.1 </w:t>
      </w:r>
    </w:p>
    <w:p w:rsidR="009822CB" w:rsidRDefault="009822CB" w:rsidP="009822C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“2016.gada pamatbudžets un speciālais budžets”</w:t>
      </w:r>
    </w:p>
    <w:p w:rsidR="008807ED" w:rsidRDefault="008807ED" w:rsidP="008807ED">
      <w:pPr>
        <w:spacing w:after="0" w:line="240" w:lineRule="auto"/>
        <w:jc w:val="both"/>
        <w:rPr>
          <w:rFonts w:ascii="Times New Roman" w:eastAsia="Calibri" w:hAnsi="Times New Roman" w:cs="Times New Roman"/>
          <w:sz w:val="20"/>
          <w:szCs w:val="20"/>
        </w:rPr>
      </w:pPr>
    </w:p>
    <w:p w:rsidR="008807ED" w:rsidRPr="00564DE2" w:rsidRDefault="008807ED" w:rsidP="008807ED">
      <w:pPr>
        <w:spacing w:after="0" w:line="240" w:lineRule="auto"/>
        <w:jc w:val="both"/>
        <w:rPr>
          <w:rFonts w:ascii="Times New Roman" w:eastAsia="Calibri" w:hAnsi="Times New Roman" w:cs="Times New Roman"/>
          <w:sz w:val="20"/>
          <w:szCs w:val="20"/>
        </w:rPr>
      </w:pPr>
    </w:p>
    <w:p w:rsidR="008807ED" w:rsidRPr="00E51FB8" w:rsidRDefault="008C5016" w:rsidP="008807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Kandavas </w:t>
      </w:r>
      <w:r w:rsidR="008807ED" w:rsidRPr="00E51FB8">
        <w:rPr>
          <w:rFonts w:ascii="Times New Roman" w:eastAsia="Calibri" w:hAnsi="Times New Roman" w:cs="Times New Roman"/>
          <w:b/>
          <w:sz w:val="24"/>
          <w:szCs w:val="24"/>
        </w:rPr>
        <w:t>novada pašvaldības 201</w:t>
      </w:r>
      <w:r>
        <w:rPr>
          <w:rFonts w:ascii="Times New Roman" w:eastAsia="Calibri" w:hAnsi="Times New Roman" w:cs="Times New Roman"/>
          <w:b/>
          <w:sz w:val="24"/>
          <w:szCs w:val="24"/>
        </w:rPr>
        <w:t>6</w:t>
      </w:r>
      <w:r w:rsidR="008807ED" w:rsidRPr="00E51FB8">
        <w:rPr>
          <w:rFonts w:ascii="Times New Roman" w:eastAsia="Calibri" w:hAnsi="Times New Roman" w:cs="Times New Roman"/>
          <w:b/>
          <w:sz w:val="24"/>
          <w:szCs w:val="24"/>
        </w:rPr>
        <w:t xml:space="preserve">.gada budžeta </w:t>
      </w:r>
      <w:r w:rsidR="008807ED">
        <w:rPr>
          <w:rFonts w:ascii="Times New Roman" w:eastAsia="Calibri" w:hAnsi="Times New Roman" w:cs="Times New Roman"/>
          <w:b/>
          <w:sz w:val="24"/>
          <w:szCs w:val="24"/>
        </w:rPr>
        <w:t>p</w:t>
      </w:r>
      <w:r w:rsidR="008807ED" w:rsidRPr="00E51FB8">
        <w:rPr>
          <w:rFonts w:ascii="Times New Roman" w:eastAsia="Calibri" w:hAnsi="Times New Roman" w:cs="Times New Roman"/>
          <w:b/>
          <w:sz w:val="24"/>
          <w:szCs w:val="24"/>
        </w:rPr>
        <w:t>askaidrojuma raksts</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p>
    <w:p w:rsidR="006B3269" w:rsidRDefault="008807ED" w:rsidP="006B3269">
      <w:pPr>
        <w:spacing w:after="0" w:line="240" w:lineRule="auto"/>
        <w:ind w:firstLine="720"/>
        <w:jc w:val="both"/>
        <w:rPr>
          <w:rFonts w:ascii="Times New Roman" w:eastAsia="Calibri" w:hAnsi="Times New Roman" w:cs="Times New Roman"/>
          <w:i/>
          <w:sz w:val="24"/>
          <w:szCs w:val="24"/>
        </w:rPr>
      </w:pPr>
      <w:r w:rsidRPr="00BC300B">
        <w:rPr>
          <w:rFonts w:ascii="Times New Roman" w:eastAsia="Calibri" w:hAnsi="Times New Roman" w:cs="Times New Roman"/>
          <w:i/>
          <w:sz w:val="24"/>
          <w:szCs w:val="24"/>
        </w:rPr>
        <w:t xml:space="preserve">1. Novada ekonomiskā un sociālā situācija, pašvaldības </w:t>
      </w:r>
      <w:r w:rsidR="00BE3FCE">
        <w:rPr>
          <w:rFonts w:ascii="Times New Roman" w:eastAsia="Calibri" w:hAnsi="Times New Roman" w:cs="Times New Roman"/>
          <w:i/>
          <w:sz w:val="24"/>
          <w:szCs w:val="24"/>
        </w:rPr>
        <w:t>uzdevumi saimnieciskajā gadā</w:t>
      </w:r>
      <w:r w:rsidRPr="00BC300B">
        <w:rPr>
          <w:rFonts w:ascii="Times New Roman" w:eastAsia="Calibri" w:hAnsi="Times New Roman" w:cs="Times New Roman"/>
          <w:i/>
          <w:sz w:val="24"/>
          <w:szCs w:val="24"/>
        </w:rPr>
        <w:t>.</w:t>
      </w:r>
      <w:r w:rsidR="006B3269">
        <w:rPr>
          <w:rFonts w:ascii="Times New Roman" w:eastAsia="Calibri" w:hAnsi="Times New Roman" w:cs="Times New Roman"/>
          <w:i/>
          <w:sz w:val="24"/>
          <w:szCs w:val="24"/>
        </w:rPr>
        <w:t xml:space="preserve"> </w:t>
      </w:r>
    </w:p>
    <w:p w:rsidR="006B3269" w:rsidRDefault="008C5016" w:rsidP="006B3269">
      <w:pPr>
        <w:spacing w:after="0" w:line="240" w:lineRule="auto"/>
        <w:ind w:firstLine="720"/>
        <w:jc w:val="both"/>
        <w:rPr>
          <w:sz w:val="24"/>
          <w:szCs w:val="24"/>
        </w:rPr>
      </w:pPr>
      <w:r>
        <w:rPr>
          <w:rFonts w:ascii="Times New Roman" w:eastAsia="Calibri" w:hAnsi="Times New Roman" w:cs="Times New Roman"/>
          <w:sz w:val="24"/>
          <w:szCs w:val="24"/>
        </w:rPr>
        <w:t>Kandavas</w:t>
      </w:r>
      <w:r w:rsidR="008807ED" w:rsidRPr="00E51FB8">
        <w:rPr>
          <w:rFonts w:ascii="Times New Roman" w:eastAsia="Calibri" w:hAnsi="Times New Roman" w:cs="Times New Roman"/>
          <w:sz w:val="24"/>
          <w:szCs w:val="24"/>
        </w:rPr>
        <w:t xml:space="preserve"> novada pašvaldības 201</w:t>
      </w:r>
      <w:r>
        <w:rPr>
          <w:rFonts w:ascii="Times New Roman" w:eastAsia="Calibri" w:hAnsi="Times New Roman" w:cs="Times New Roman"/>
          <w:sz w:val="24"/>
          <w:szCs w:val="24"/>
        </w:rPr>
        <w:t>6</w:t>
      </w:r>
      <w:r w:rsidR="008807ED" w:rsidRPr="00E51FB8">
        <w:rPr>
          <w:rFonts w:ascii="Times New Roman" w:eastAsia="Calibri" w:hAnsi="Times New Roman" w:cs="Times New Roman"/>
          <w:sz w:val="24"/>
          <w:szCs w:val="24"/>
        </w:rPr>
        <w:t>.gada budžets izstrādāts, ievērojot likumā „Par pašvaldību budžetiem”, likumā „Par pašvaldībām”, likumā „Par budžetu un finanšu vadību”,</w:t>
      </w:r>
      <w:r>
        <w:rPr>
          <w:rFonts w:ascii="Times New Roman" w:eastAsia="Calibri" w:hAnsi="Times New Roman" w:cs="Times New Roman"/>
          <w:sz w:val="24"/>
          <w:szCs w:val="24"/>
        </w:rPr>
        <w:t xml:space="preserve"> likumā „Par valsts budžetu 2016</w:t>
      </w:r>
      <w:r w:rsidR="008807ED" w:rsidRPr="00E51FB8">
        <w:rPr>
          <w:rFonts w:ascii="Times New Roman" w:eastAsia="Calibri" w:hAnsi="Times New Roman" w:cs="Times New Roman"/>
          <w:sz w:val="24"/>
          <w:szCs w:val="24"/>
        </w:rPr>
        <w:t xml:space="preserve">.gadam”, kā arī nodokļu likumos, Ministru kabineta noteikumos un citos normatīvajos aktos </w:t>
      </w:r>
      <w:r>
        <w:rPr>
          <w:rFonts w:ascii="Times New Roman" w:eastAsia="Calibri" w:hAnsi="Times New Roman" w:cs="Times New Roman"/>
          <w:sz w:val="24"/>
          <w:szCs w:val="24"/>
        </w:rPr>
        <w:t>noteiktās</w:t>
      </w:r>
      <w:r w:rsidR="008807ED" w:rsidRPr="00E51FB8">
        <w:rPr>
          <w:rFonts w:ascii="Times New Roman" w:eastAsia="Calibri" w:hAnsi="Times New Roman" w:cs="Times New Roman"/>
          <w:sz w:val="24"/>
          <w:szCs w:val="24"/>
        </w:rPr>
        <w:t xml:space="preserve"> prasības.</w:t>
      </w:r>
      <w:r w:rsidR="00DF74D3" w:rsidRPr="007409FA">
        <w:rPr>
          <w:sz w:val="24"/>
          <w:szCs w:val="24"/>
        </w:rPr>
        <w:t xml:space="preserve">   </w:t>
      </w:r>
    </w:p>
    <w:p w:rsidR="008807ED" w:rsidRPr="006B3269" w:rsidRDefault="008807ED" w:rsidP="006B3269">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sz w:val="24"/>
          <w:szCs w:val="24"/>
        </w:rPr>
        <w:t>Budžets izstrādāts</w:t>
      </w:r>
      <w:r w:rsidR="00DF74D3">
        <w:rPr>
          <w:rFonts w:ascii="Times New Roman" w:eastAsia="Calibri" w:hAnsi="Times New Roman" w:cs="Times New Roman"/>
          <w:sz w:val="24"/>
          <w:szCs w:val="24"/>
        </w:rPr>
        <w:t xml:space="preserve"> Latvijas Republikas naudas vienībā - </w:t>
      </w:r>
      <w:proofErr w:type="spellStart"/>
      <w:r w:rsidR="00A6534C">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w:t>
      </w:r>
    </w:p>
    <w:p w:rsidR="008807ED" w:rsidRPr="00E51FB8" w:rsidRDefault="008807ED" w:rsidP="006B3269">
      <w:pPr>
        <w:spacing w:after="0" w:line="240" w:lineRule="auto"/>
        <w:ind w:firstLine="709"/>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Deputātu vērtējumam ir iesniegts sabalansēts 201</w:t>
      </w:r>
      <w:r w:rsidR="00DF74D3">
        <w:rPr>
          <w:rFonts w:ascii="Times New Roman" w:eastAsia="Calibri" w:hAnsi="Times New Roman" w:cs="Times New Roman"/>
          <w:sz w:val="24"/>
          <w:szCs w:val="24"/>
        </w:rPr>
        <w:t>6</w:t>
      </w:r>
      <w:r w:rsidRPr="00E51FB8">
        <w:rPr>
          <w:rFonts w:ascii="Times New Roman" w:eastAsia="Calibri" w:hAnsi="Times New Roman" w:cs="Times New Roman"/>
          <w:sz w:val="24"/>
          <w:szCs w:val="24"/>
        </w:rPr>
        <w:t xml:space="preserve">.gada </w:t>
      </w:r>
      <w:r w:rsidR="00DF74D3">
        <w:rPr>
          <w:rFonts w:ascii="Times New Roman" w:eastAsia="Calibri" w:hAnsi="Times New Roman" w:cs="Times New Roman"/>
          <w:sz w:val="24"/>
          <w:szCs w:val="24"/>
        </w:rPr>
        <w:t>Kandavas</w:t>
      </w:r>
      <w:r w:rsidRPr="00E51FB8">
        <w:rPr>
          <w:rFonts w:ascii="Times New Roman" w:eastAsia="Calibri" w:hAnsi="Times New Roman" w:cs="Times New Roman"/>
          <w:sz w:val="24"/>
          <w:szCs w:val="24"/>
        </w:rPr>
        <w:t xml:space="preserve"> novada pašvaldības budžets. Tas ir dokuments, kurš atspoguļo pašvaldības politiku un prioritātes skaitliskā izteiksmē. </w:t>
      </w:r>
      <w:r w:rsidR="00DF74D3">
        <w:rPr>
          <w:rFonts w:ascii="Times New Roman" w:eastAsia="Calibri" w:hAnsi="Times New Roman" w:cs="Times New Roman"/>
          <w:sz w:val="24"/>
          <w:szCs w:val="24"/>
        </w:rPr>
        <w:t>Kandavas</w:t>
      </w:r>
      <w:r w:rsidRPr="00E51FB8">
        <w:rPr>
          <w:rFonts w:ascii="Times New Roman" w:eastAsia="Calibri" w:hAnsi="Times New Roman" w:cs="Times New Roman"/>
          <w:sz w:val="24"/>
          <w:szCs w:val="24"/>
        </w:rPr>
        <w:t xml:space="preserve"> novada pašvaldības 201</w:t>
      </w:r>
      <w:r w:rsidR="00DF74D3">
        <w:rPr>
          <w:rFonts w:ascii="Times New Roman" w:eastAsia="Calibri" w:hAnsi="Times New Roman" w:cs="Times New Roman"/>
          <w:sz w:val="24"/>
          <w:szCs w:val="24"/>
        </w:rPr>
        <w:t>6</w:t>
      </w:r>
      <w:r w:rsidRPr="00E51FB8">
        <w:rPr>
          <w:rFonts w:ascii="Times New Roman" w:eastAsia="Calibri" w:hAnsi="Times New Roman" w:cs="Times New Roman"/>
          <w:sz w:val="24"/>
          <w:szCs w:val="24"/>
        </w:rPr>
        <w:t>.gada budžeta ieņēmumu noteikšanas pamatprincipi paredz piesardzīgu vērtējumu par ekonomis</w:t>
      </w:r>
      <w:r w:rsidR="00BC103B">
        <w:rPr>
          <w:rFonts w:ascii="Times New Roman" w:eastAsia="Calibri" w:hAnsi="Times New Roman" w:cs="Times New Roman"/>
          <w:sz w:val="24"/>
          <w:szCs w:val="24"/>
        </w:rPr>
        <w:t>kās situācijas attīstību. Kandavas</w:t>
      </w:r>
      <w:r w:rsidRPr="00E51FB8">
        <w:rPr>
          <w:rFonts w:ascii="Times New Roman" w:eastAsia="Calibri" w:hAnsi="Times New Roman" w:cs="Times New Roman"/>
          <w:sz w:val="24"/>
          <w:szCs w:val="24"/>
        </w:rPr>
        <w:t xml:space="preserve"> novada pašvaldības budžets sastāv no pamatbudžeta</w:t>
      </w:r>
      <w:r w:rsidR="00BC103B">
        <w:rPr>
          <w:rFonts w:ascii="Times New Roman" w:eastAsia="Calibri" w:hAnsi="Times New Roman" w:cs="Times New Roman"/>
          <w:sz w:val="24"/>
          <w:szCs w:val="24"/>
        </w:rPr>
        <w:t xml:space="preserve"> un</w:t>
      </w:r>
      <w:r w:rsidRPr="00E51FB8">
        <w:rPr>
          <w:rFonts w:ascii="Times New Roman" w:eastAsia="Calibri" w:hAnsi="Times New Roman" w:cs="Times New Roman"/>
          <w:sz w:val="24"/>
          <w:szCs w:val="24"/>
        </w:rPr>
        <w:t xml:space="preserve"> speciālā budžeta</w:t>
      </w:r>
      <w:r w:rsidR="00BC103B">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Speciālo budžetu veido Autoceļa fonda ieņēmum</w:t>
      </w:r>
      <w:r w:rsidR="00BC103B">
        <w:rPr>
          <w:rFonts w:ascii="Times New Roman" w:eastAsia="Calibri" w:hAnsi="Times New Roman" w:cs="Times New Roman"/>
          <w:sz w:val="24"/>
          <w:szCs w:val="24"/>
        </w:rPr>
        <w:t>i</w:t>
      </w:r>
      <w:r w:rsidRPr="00E51FB8">
        <w:rPr>
          <w:rFonts w:ascii="Times New Roman" w:eastAsia="Calibri" w:hAnsi="Times New Roman" w:cs="Times New Roman"/>
          <w:sz w:val="24"/>
          <w:szCs w:val="24"/>
        </w:rPr>
        <w:t xml:space="preserve"> un dabas resursa nodokļa ieņēmumi (pašvaldības daļa).</w:t>
      </w:r>
    </w:p>
    <w:p w:rsidR="008807ED" w:rsidRDefault="008807ED" w:rsidP="006B3269">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201</w:t>
      </w:r>
      <w:r w:rsidR="00BC103B">
        <w:rPr>
          <w:rFonts w:ascii="Times New Roman" w:eastAsia="Calibri" w:hAnsi="Times New Roman" w:cs="Times New Roman"/>
          <w:sz w:val="24"/>
          <w:szCs w:val="24"/>
        </w:rPr>
        <w:t>6</w:t>
      </w:r>
      <w:r w:rsidRPr="00E51FB8">
        <w:rPr>
          <w:rFonts w:ascii="Times New Roman" w:eastAsia="Calibri" w:hAnsi="Times New Roman" w:cs="Times New Roman"/>
          <w:sz w:val="24"/>
          <w:szCs w:val="24"/>
        </w:rPr>
        <w:t xml:space="preserve">.gadā novada infrastruktūras un ekonomiskā attīstība ir plānota, īstenojot </w:t>
      </w:r>
      <w:r w:rsidRPr="00A6534C">
        <w:rPr>
          <w:rFonts w:ascii="Times New Roman" w:eastAsia="Calibri" w:hAnsi="Times New Roman" w:cs="Times New Roman"/>
          <w:sz w:val="24"/>
          <w:szCs w:val="24"/>
        </w:rPr>
        <w:t>Eiropas Savienības finansētos projektus,</w:t>
      </w:r>
      <w:r w:rsidRPr="00E51FB8">
        <w:rPr>
          <w:rFonts w:ascii="Times New Roman" w:eastAsia="Calibri" w:hAnsi="Times New Roman" w:cs="Times New Roman"/>
          <w:sz w:val="24"/>
          <w:szCs w:val="24"/>
        </w:rPr>
        <w:t xml:space="preserve"> </w:t>
      </w:r>
      <w:r w:rsidR="00BC103B">
        <w:rPr>
          <w:rFonts w:ascii="Times New Roman" w:eastAsia="Calibri" w:hAnsi="Times New Roman" w:cs="Times New Roman"/>
          <w:sz w:val="24"/>
          <w:szCs w:val="24"/>
        </w:rPr>
        <w:t>nosakot budžeta</w:t>
      </w:r>
      <w:r w:rsidRPr="00E51FB8">
        <w:rPr>
          <w:rFonts w:ascii="Times New Roman" w:eastAsia="Calibri" w:hAnsi="Times New Roman" w:cs="Times New Roman"/>
          <w:sz w:val="24"/>
          <w:szCs w:val="24"/>
        </w:rPr>
        <w:t xml:space="preserve"> finansējumu mērķmaksājumiem un noteiktu objektu rekonstrukcijai un būvniecībai ar budžeta un aizņēmuma līdzekļiem.</w:t>
      </w:r>
    </w:p>
    <w:p w:rsidR="00BE3FCE" w:rsidRPr="00786957" w:rsidRDefault="00247B58" w:rsidP="00786957">
      <w:pPr>
        <w:spacing w:after="0" w:line="240" w:lineRule="auto"/>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Kandavas novada domes pamatbudžeta galvenās ieņēmumu pozīcijas ir iedzīvotāju ienākuma nodoklis un </w:t>
      </w:r>
      <w:r w:rsidRPr="006B3269">
        <w:rPr>
          <w:rFonts w:ascii="Times New Roman" w:eastAsia="Calibri" w:hAnsi="Times New Roman" w:cs="Times New Roman"/>
          <w:sz w:val="24"/>
          <w:szCs w:val="24"/>
        </w:rPr>
        <w:t>dotācija no pašvaldību finanšu izlīdzināšanas fonda</w:t>
      </w:r>
      <w:r w:rsidR="00BE3FCE">
        <w:rPr>
          <w:rFonts w:ascii="Times New Roman" w:eastAsia="Calibri" w:hAnsi="Times New Roman" w:cs="Times New Roman"/>
          <w:sz w:val="24"/>
          <w:szCs w:val="24"/>
        </w:rPr>
        <w:t>. Kopsummā šie i</w:t>
      </w:r>
      <w:r>
        <w:rPr>
          <w:rFonts w:ascii="Times New Roman" w:eastAsia="Calibri" w:hAnsi="Times New Roman" w:cs="Times New Roman"/>
          <w:sz w:val="24"/>
          <w:szCs w:val="24"/>
        </w:rPr>
        <w:t>eņēmumi 2016.gadā ir plānoti 5</w:t>
      </w:r>
      <w:r w:rsidR="0090140B">
        <w:rPr>
          <w:rFonts w:ascii="Times New Roman" w:eastAsia="Calibri" w:hAnsi="Times New Roman" w:cs="Times New Roman"/>
          <w:sz w:val="24"/>
          <w:szCs w:val="24"/>
        </w:rPr>
        <w:t xml:space="preserve"> </w:t>
      </w:r>
      <w:r>
        <w:rPr>
          <w:rFonts w:ascii="Times New Roman" w:eastAsia="Calibri" w:hAnsi="Times New Roman" w:cs="Times New Roman"/>
          <w:sz w:val="24"/>
          <w:szCs w:val="24"/>
        </w:rPr>
        <w:t>094</w:t>
      </w:r>
      <w:r w:rsidR="009014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282 </w:t>
      </w:r>
      <w:proofErr w:type="spellStart"/>
      <w:r w:rsidRPr="00247B58">
        <w:rPr>
          <w:rFonts w:ascii="Times New Roman" w:eastAsia="Calibri" w:hAnsi="Times New Roman" w:cs="Times New Roman"/>
          <w:i/>
          <w:sz w:val="24"/>
          <w:szCs w:val="24"/>
        </w:rPr>
        <w:t>euro</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salīdzinot ar 2015.gadu (5</w:t>
      </w:r>
      <w:r w:rsidR="0090140B">
        <w:rPr>
          <w:rFonts w:ascii="Times New Roman" w:eastAsia="Calibri" w:hAnsi="Times New Roman" w:cs="Times New Roman"/>
          <w:sz w:val="24"/>
          <w:szCs w:val="24"/>
        </w:rPr>
        <w:t xml:space="preserve"> </w:t>
      </w:r>
      <w:r>
        <w:rPr>
          <w:rFonts w:ascii="Times New Roman" w:eastAsia="Calibri" w:hAnsi="Times New Roman" w:cs="Times New Roman"/>
          <w:sz w:val="24"/>
          <w:szCs w:val="24"/>
        </w:rPr>
        <w:t>116</w:t>
      </w:r>
      <w:r w:rsidR="009014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614 </w:t>
      </w:r>
      <w:proofErr w:type="spellStart"/>
      <w:r w:rsidRPr="00247B58">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samazinās par 22</w:t>
      </w:r>
      <w:r w:rsidR="0090140B">
        <w:rPr>
          <w:rFonts w:ascii="Times New Roman" w:eastAsia="Calibri" w:hAnsi="Times New Roman" w:cs="Times New Roman"/>
          <w:sz w:val="24"/>
          <w:szCs w:val="24"/>
        </w:rPr>
        <w:t xml:space="preserve"> </w:t>
      </w:r>
      <w:r>
        <w:rPr>
          <w:rFonts w:ascii="Times New Roman" w:eastAsia="Calibri" w:hAnsi="Times New Roman" w:cs="Times New Roman"/>
          <w:sz w:val="24"/>
          <w:szCs w:val="24"/>
        </w:rPr>
        <w:t>332</w:t>
      </w:r>
      <w:r w:rsidR="00BE3FCE">
        <w:rPr>
          <w:rFonts w:ascii="Times New Roman" w:eastAsia="Calibri" w:hAnsi="Times New Roman" w:cs="Times New Roman"/>
          <w:sz w:val="24"/>
          <w:szCs w:val="24"/>
        </w:rPr>
        <w:t xml:space="preserve"> </w:t>
      </w:r>
      <w:proofErr w:type="spellStart"/>
      <w:r w:rsidR="00BE3FCE" w:rsidRPr="00BE3FCE">
        <w:rPr>
          <w:rFonts w:ascii="Times New Roman" w:eastAsia="Calibri" w:hAnsi="Times New Roman" w:cs="Times New Roman"/>
          <w:i/>
          <w:sz w:val="24"/>
          <w:szCs w:val="24"/>
        </w:rPr>
        <w:t>euro</w:t>
      </w:r>
      <w:proofErr w:type="spellEnd"/>
      <w:r w:rsidR="00BE3FCE">
        <w:rPr>
          <w:rFonts w:ascii="Times New Roman" w:eastAsia="Calibri" w:hAnsi="Times New Roman" w:cs="Times New Roman"/>
          <w:i/>
          <w:sz w:val="24"/>
          <w:szCs w:val="24"/>
        </w:rPr>
        <w:t>.</w:t>
      </w:r>
      <w:r w:rsidR="00786957">
        <w:rPr>
          <w:rFonts w:ascii="Times New Roman" w:eastAsia="Calibri" w:hAnsi="Times New Roman" w:cs="Times New Roman"/>
          <w:i/>
          <w:sz w:val="24"/>
          <w:szCs w:val="24"/>
        </w:rPr>
        <w:t xml:space="preserve"> </w:t>
      </w:r>
      <w:r w:rsidR="00BE3FCE">
        <w:rPr>
          <w:rFonts w:ascii="Times New Roman" w:eastAsia="Calibri" w:hAnsi="Times New Roman" w:cs="Times New Roman"/>
          <w:sz w:val="24"/>
          <w:szCs w:val="24"/>
        </w:rPr>
        <w:t>Kā prioritātes 2016.gadā ir noteiktas Kandavas</w:t>
      </w:r>
      <w:r w:rsidR="00F507CF">
        <w:rPr>
          <w:rFonts w:ascii="Times New Roman" w:eastAsia="Calibri" w:hAnsi="Times New Roman" w:cs="Times New Roman"/>
          <w:sz w:val="24"/>
          <w:szCs w:val="24"/>
        </w:rPr>
        <w:t xml:space="preserve"> mākslas un</w:t>
      </w:r>
      <w:r w:rsidR="00BE3FCE">
        <w:rPr>
          <w:rFonts w:ascii="Times New Roman" w:eastAsia="Calibri" w:hAnsi="Times New Roman" w:cs="Times New Roman"/>
          <w:sz w:val="24"/>
          <w:szCs w:val="24"/>
        </w:rPr>
        <w:t xml:space="preserve"> mūzikas skolas </w:t>
      </w:r>
      <w:r w:rsidR="00F507CF">
        <w:rPr>
          <w:rFonts w:ascii="Times New Roman" w:eastAsia="Calibri" w:hAnsi="Times New Roman" w:cs="Times New Roman"/>
          <w:sz w:val="24"/>
          <w:szCs w:val="24"/>
        </w:rPr>
        <w:t>telpu pārbūve</w:t>
      </w:r>
      <w:r w:rsidR="00BE3FCE">
        <w:rPr>
          <w:rFonts w:ascii="Times New Roman" w:eastAsia="Calibri" w:hAnsi="Times New Roman" w:cs="Times New Roman"/>
          <w:sz w:val="24"/>
          <w:szCs w:val="24"/>
        </w:rPr>
        <w:t xml:space="preserve"> Sabiles ielā 12 un </w:t>
      </w:r>
      <w:r w:rsidR="00F507CF">
        <w:rPr>
          <w:rFonts w:ascii="Times New Roman" w:eastAsia="Calibri" w:hAnsi="Times New Roman" w:cs="Times New Roman"/>
          <w:sz w:val="24"/>
          <w:szCs w:val="24"/>
        </w:rPr>
        <w:t xml:space="preserve">Kandavas </w:t>
      </w:r>
      <w:r w:rsidR="00BE3FCE">
        <w:rPr>
          <w:rFonts w:ascii="Times New Roman" w:eastAsia="Calibri" w:hAnsi="Times New Roman" w:cs="Times New Roman"/>
          <w:sz w:val="24"/>
          <w:szCs w:val="24"/>
        </w:rPr>
        <w:t xml:space="preserve">mūzikas skolas </w:t>
      </w:r>
      <w:r w:rsidR="00AF681B">
        <w:rPr>
          <w:rFonts w:ascii="Times New Roman" w:eastAsia="Calibri" w:hAnsi="Times New Roman" w:cs="Times New Roman"/>
          <w:sz w:val="24"/>
          <w:szCs w:val="24"/>
        </w:rPr>
        <w:t>telpu pārbūve, lai tās</w:t>
      </w:r>
      <w:r w:rsidR="00BE3FCE">
        <w:rPr>
          <w:rFonts w:ascii="Times New Roman" w:eastAsia="Calibri" w:hAnsi="Times New Roman" w:cs="Times New Roman"/>
          <w:sz w:val="24"/>
          <w:szCs w:val="24"/>
        </w:rPr>
        <w:t xml:space="preserve"> piemērotu Kandavas pilsētas bibliotēkas vajadzībām, kopējās izmaksas sastāda </w:t>
      </w:r>
      <w:r w:rsidR="0090140B">
        <w:rPr>
          <w:rFonts w:ascii="Times New Roman" w:eastAsia="Calibri" w:hAnsi="Times New Roman" w:cs="Times New Roman"/>
          <w:sz w:val="24"/>
          <w:szCs w:val="24"/>
        </w:rPr>
        <w:t xml:space="preserve">606 364 </w:t>
      </w:r>
      <w:proofErr w:type="spellStart"/>
      <w:r w:rsidR="0090140B" w:rsidRPr="0090140B">
        <w:rPr>
          <w:rFonts w:ascii="Times New Roman" w:eastAsia="Calibri" w:hAnsi="Times New Roman" w:cs="Times New Roman"/>
          <w:i/>
          <w:sz w:val="24"/>
          <w:szCs w:val="24"/>
        </w:rPr>
        <w:t>euro</w:t>
      </w:r>
      <w:proofErr w:type="spellEnd"/>
      <w:r w:rsidR="0090140B">
        <w:rPr>
          <w:rFonts w:ascii="Times New Roman" w:eastAsia="Calibri" w:hAnsi="Times New Roman" w:cs="Times New Roman"/>
          <w:sz w:val="24"/>
          <w:szCs w:val="24"/>
        </w:rPr>
        <w:t>.</w:t>
      </w:r>
      <w:r w:rsidR="00F507CF">
        <w:rPr>
          <w:rFonts w:ascii="Times New Roman" w:eastAsia="Calibri" w:hAnsi="Times New Roman" w:cs="Times New Roman"/>
          <w:sz w:val="24"/>
          <w:szCs w:val="24"/>
        </w:rPr>
        <w:t xml:space="preserve"> Tādēļ, lai sabalansētu budžetu, tika samazināti asignējumi uzturēšanas izdevumiem iestādēm</w:t>
      </w:r>
      <w:r w:rsidR="00AF681B">
        <w:rPr>
          <w:rFonts w:ascii="Times New Roman" w:eastAsia="Calibri" w:hAnsi="Times New Roman" w:cs="Times New Roman"/>
          <w:sz w:val="24"/>
          <w:szCs w:val="24"/>
        </w:rPr>
        <w:t>,</w:t>
      </w:r>
      <w:r w:rsidR="00F507CF">
        <w:rPr>
          <w:rFonts w:ascii="Times New Roman" w:eastAsia="Calibri" w:hAnsi="Times New Roman" w:cs="Times New Roman"/>
          <w:sz w:val="24"/>
          <w:szCs w:val="24"/>
        </w:rPr>
        <w:t xml:space="preserve"> salīdzinot ar 2015.gadā sākotnēji plānoto.</w:t>
      </w:r>
    </w:p>
    <w:p w:rsidR="008807ED" w:rsidRPr="00E51FB8" w:rsidRDefault="008807ED" w:rsidP="008807E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r>
    </w:p>
    <w:p w:rsidR="008807ED" w:rsidRDefault="00BC103B" w:rsidP="009D54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Kandavas</w:t>
      </w:r>
      <w:r w:rsidR="008807ED" w:rsidRPr="00E51FB8">
        <w:rPr>
          <w:rFonts w:ascii="Times New Roman" w:eastAsia="Calibri" w:hAnsi="Times New Roman" w:cs="Times New Roman"/>
          <w:b/>
          <w:sz w:val="24"/>
          <w:szCs w:val="24"/>
        </w:rPr>
        <w:t xml:space="preserve"> novada pašvaldības pamatbudžets</w:t>
      </w:r>
    </w:p>
    <w:p w:rsidR="00D81772" w:rsidRPr="00E51FB8" w:rsidRDefault="00D81772" w:rsidP="009D546C">
      <w:pPr>
        <w:spacing w:after="0" w:line="240" w:lineRule="auto"/>
        <w:jc w:val="center"/>
        <w:rPr>
          <w:rFonts w:ascii="Times New Roman" w:eastAsia="Calibri" w:hAnsi="Times New Roman" w:cs="Times New Roman"/>
          <w:b/>
          <w:sz w:val="24"/>
          <w:szCs w:val="24"/>
        </w:rPr>
      </w:pPr>
    </w:p>
    <w:p w:rsidR="008807ED" w:rsidRPr="00E51FB8" w:rsidRDefault="008807ED" w:rsidP="008807ED">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E51FB8">
        <w:rPr>
          <w:rFonts w:ascii="Times New Roman" w:eastAsia="Calibri" w:hAnsi="Times New Roman" w:cs="Times New Roman"/>
          <w:b/>
          <w:sz w:val="24"/>
          <w:szCs w:val="24"/>
        </w:rPr>
        <w:t>Ieņēmumi</w:t>
      </w:r>
    </w:p>
    <w:p w:rsidR="008807ED" w:rsidRPr="00E51FB8" w:rsidRDefault="00BC103B" w:rsidP="008807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Kandavas</w:t>
      </w:r>
      <w:r w:rsidR="008807ED" w:rsidRPr="00E51FB8">
        <w:rPr>
          <w:rFonts w:ascii="Times New Roman" w:eastAsia="Calibri" w:hAnsi="Times New Roman" w:cs="Times New Roman"/>
          <w:sz w:val="24"/>
          <w:szCs w:val="24"/>
        </w:rPr>
        <w:t xml:space="preserve"> novada pašvaldības 201</w:t>
      </w:r>
      <w:r>
        <w:rPr>
          <w:rFonts w:ascii="Times New Roman" w:eastAsia="Calibri" w:hAnsi="Times New Roman" w:cs="Times New Roman"/>
          <w:sz w:val="24"/>
          <w:szCs w:val="24"/>
        </w:rPr>
        <w:t>6</w:t>
      </w:r>
      <w:r w:rsidR="008807ED" w:rsidRPr="00E51FB8">
        <w:rPr>
          <w:rFonts w:ascii="Times New Roman" w:eastAsia="Calibri" w:hAnsi="Times New Roman" w:cs="Times New Roman"/>
          <w:sz w:val="24"/>
          <w:szCs w:val="24"/>
        </w:rPr>
        <w:t>.gada ieņēm</w:t>
      </w:r>
      <w:r>
        <w:rPr>
          <w:rFonts w:ascii="Times New Roman" w:eastAsia="Calibri" w:hAnsi="Times New Roman" w:cs="Times New Roman"/>
          <w:sz w:val="24"/>
          <w:szCs w:val="24"/>
        </w:rPr>
        <w:t>um</w:t>
      </w:r>
      <w:r w:rsidR="008807ED" w:rsidRPr="00E51FB8">
        <w:rPr>
          <w:rFonts w:ascii="Times New Roman" w:eastAsia="Calibri" w:hAnsi="Times New Roman" w:cs="Times New Roman"/>
          <w:sz w:val="24"/>
          <w:szCs w:val="24"/>
        </w:rPr>
        <w:t xml:space="preserve">i ir plānoti </w:t>
      </w:r>
      <w:r w:rsidR="008114B0">
        <w:rPr>
          <w:rFonts w:ascii="Times New Roman" w:eastAsia="Calibri" w:hAnsi="Times New Roman" w:cs="Times New Roman"/>
          <w:sz w:val="24"/>
          <w:szCs w:val="24"/>
        </w:rPr>
        <w:t>8 496 154</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114B0">
        <w:rPr>
          <w:rFonts w:ascii="Times New Roman" w:eastAsia="Calibri" w:hAnsi="Times New Roman" w:cs="Times New Roman"/>
          <w:sz w:val="24"/>
          <w:szCs w:val="24"/>
        </w:rPr>
        <w:t xml:space="preserve">. Plānotie ieņēmumi ir par 2.9 </w:t>
      </w:r>
      <w:r w:rsidR="009723B5">
        <w:rPr>
          <w:rFonts w:ascii="Times New Roman" w:eastAsia="Calibri" w:hAnsi="Times New Roman" w:cs="Times New Roman"/>
          <w:sz w:val="24"/>
          <w:szCs w:val="24"/>
        </w:rPr>
        <w:t>% vairāk kā 2015</w:t>
      </w:r>
      <w:r w:rsidR="008807ED" w:rsidRPr="00E51FB8">
        <w:rPr>
          <w:rFonts w:ascii="Times New Roman" w:eastAsia="Calibri" w:hAnsi="Times New Roman" w:cs="Times New Roman"/>
          <w:sz w:val="24"/>
          <w:szCs w:val="24"/>
        </w:rPr>
        <w:t>.gadā sākotnēji plānotie (</w:t>
      </w:r>
      <w:r w:rsidR="008114B0">
        <w:rPr>
          <w:rFonts w:ascii="Times New Roman" w:eastAsia="Calibri" w:hAnsi="Times New Roman" w:cs="Times New Roman"/>
          <w:sz w:val="24"/>
          <w:szCs w:val="24"/>
        </w:rPr>
        <w:t>8 256 725</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Pašvaldības pamatbudžetu ieņēmumus veido nodokļu un </w:t>
      </w:r>
      <w:proofErr w:type="spellStart"/>
      <w:r w:rsidR="008807ED" w:rsidRPr="00E51FB8">
        <w:rPr>
          <w:rFonts w:ascii="Times New Roman" w:eastAsia="Calibri" w:hAnsi="Times New Roman" w:cs="Times New Roman"/>
          <w:sz w:val="24"/>
          <w:szCs w:val="24"/>
        </w:rPr>
        <w:t>nenodokļu</w:t>
      </w:r>
      <w:proofErr w:type="spellEnd"/>
      <w:r w:rsidR="008807ED" w:rsidRPr="00E51FB8">
        <w:rPr>
          <w:rFonts w:ascii="Times New Roman" w:eastAsia="Calibri" w:hAnsi="Times New Roman" w:cs="Times New Roman"/>
          <w:sz w:val="24"/>
          <w:szCs w:val="24"/>
        </w:rPr>
        <w:t xml:space="preserve"> ieņēmumi, maksas pakalpojumi un citi pašu ieņēmumi, valsts mērķdotācijas un citu budžetu </w:t>
      </w:r>
      <w:proofErr w:type="spellStart"/>
      <w:r w:rsidR="008807ED" w:rsidRPr="00E51FB8">
        <w:rPr>
          <w:rFonts w:ascii="Times New Roman" w:eastAsia="Calibri" w:hAnsi="Times New Roman" w:cs="Times New Roman"/>
          <w:sz w:val="24"/>
          <w:szCs w:val="24"/>
        </w:rPr>
        <w:t>transferti</w:t>
      </w:r>
      <w:proofErr w:type="spellEnd"/>
      <w:r w:rsidR="008807ED" w:rsidRPr="00E51FB8">
        <w:rPr>
          <w:rFonts w:ascii="Times New Roman" w:eastAsia="Calibri" w:hAnsi="Times New Roman" w:cs="Times New Roman"/>
          <w:sz w:val="24"/>
          <w:szCs w:val="24"/>
        </w:rPr>
        <w:t xml:space="preserve">. </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Nodokļu ieņēmumi ir galvenais pašvaldības ieņēmumu avots. Lielākais īpatsvars nodokļu ieņēmumos ir iedzīvot</w:t>
      </w:r>
      <w:r w:rsidR="008114B0">
        <w:rPr>
          <w:rFonts w:ascii="Times New Roman" w:eastAsia="Calibri" w:hAnsi="Times New Roman" w:cs="Times New Roman"/>
          <w:sz w:val="24"/>
          <w:szCs w:val="24"/>
        </w:rPr>
        <w:t>āju ienākuma nodoklis 3 382 072</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r w:rsidR="008114B0">
        <w:rPr>
          <w:rFonts w:ascii="Times New Roman" w:eastAsia="Calibri" w:hAnsi="Times New Roman" w:cs="Times New Roman"/>
          <w:sz w:val="24"/>
          <w:szCs w:val="24"/>
        </w:rPr>
        <w:t>40</w:t>
      </w:r>
      <w:r w:rsidRPr="00E51FB8">
        <w:rPr>
          <w:rFonts w:ascii="Times New Roman" w:eastAsia="Calibri" w:hAnsi="Times New Roman" w:cs="Times New Roman"/>
          <w:sz w:val="24"/>
          <w:szCs w:val="24"/>
        </w:rPr>
        <w:t>%), salīdzinā</w:t>
      </w:r>
      <w:r w:rsidR="009723B5">
        <w:rPr>
          <w:rFonts w:ascii="Times New Roman" w:eastAsia="Calibri" w:hAnsi="Times New Roman" w:cs="Times New Roman"/>
          <w:sz w:val="24"/>
          <w:szCs w:val="24"/>
        </w:rPr>
        <w:t>jumā ar 2015</w:t>
      </w:r>
      <w:r w:rsidR="008114B0">
        <w:rPr>
          <w:rFonts w:ascii="Times New Roman" w:eastAsia="Calibri" w:hAnsi="Times New Roman" w:cs="Times New Roman"/>
          <w:sz w:val="24"/>
          <w:szCs w:val="24"/>
        </w:rPr>
        <w:t>.gadu pieaugums ir 6.1</w:t>
      </w:r>
      <w:r w:rsidRPr="00E51FB8">
        <w:rPr>
          <w:rFonts w:ascii="Times New Roman" w:eastAsia="Calibri" w:hAnsi="Times New Roman" w:cs="Times New Roman"/>
          <w:sz w:val="24"/>
          <w:szCs w:val="24"/>
        </w:rPr>
        <w:t>% (</w:t>
      </w:r>
      <w:r w:rsidR="008114B0">
        <w:rPr>
          <w:rFonts w:ascii="Times New Roman" w:eastAsia="Calibri" w:hAnsi="Times New Roman" w:cs="Times New Roman"/>
          <w:sz w:val="24"/>
          <w:szCs w:val="24"/>
        </w:rPr>
        <w:t>194</w:t>
      </w:r>
      <w:r w:rsidR="00A6534C">
        <w:rPr>
          <w:rFonts w:ascii="Times New Roman" w:eastAsia="Calibri" w:hAnsi="Times New Roman" w:cs="Times New Roman"/>
          <w:sz w:val="24"/>
          <w:szCs w:val="24"/>
        </w:rPr>
        <w:t> </w:t>
      </w:r>
      <w:r w:rsidR="008114B0">
        <w:rPr>
          <w:rFonts w:ascii="Times New Roman" w:eastAsia="Calibri" w:hAnsi="Times New Roman" w:cs="Times New Roman"/>
          <w:sz w:val="24"/>
          <w:szCs w:val="24"/>
        </w:rPr>
        <w:t>013</w:t>
      </w:r>
      <w:r w:rsidR="00A6534C">
        <w:rPr>
          <w:rFonts w:ascii="Times New Roman" w:eastAsia="Calibri" w:hAnsi="Times New Roman" w:cs="Times New Roman"/>
          <w:sz w:val="24"/>
          <w:szCs w:val="24"/>
        </w:rPr>
        <w:t xml:space="preserve"> </w:t>
      </w:r>
      <w:proofErr w:type="spellStart"/>
      <w:r w:rsidR="00A6534C">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r w:rsidRPr="00A6534C">
        <w:rPr>
          <w:rFonts w:ascii="Times New Roman" w:eastAsia="Calibri" w:hAnsi="Times New Roman" w:cs="Times New Roman"/>
          <w:sz w:val="24"/>
          <w:szCs w:val="24"/>
        </w:rPr>
        <w:t>Iedzīvotāju ienākuma nodokļa prognoze ir noteikta, ka pašvaldību īpatsvars iedzīvotāju ienākuma nodokļa sadalē neti</w:t>
      </w:r>
      <w:r w:rsidR="009723B5" w:rsidRPr="00A6534C">
        <w:rPr>
          <w:rFonts w:ascii="Times New Roman" w:eastAsia="Calibri" w:hAnsi="Times New Roman" w:cs="Times New Roman"/>
          <w:sz w:val="24"/>
          <w:szCs w:val="24"/>
        </w:rPr>
        <w:t>ek mainīts salīdzinājumā ar 2015</w:t>
      </w:r>
      <w:r w:rsidRPr="00A6534C">
        <w:rPr>
          <w:rFonts w:ascii="Times New Roman" w:eastAsia="Calibri" w:hAnsi="Times New Roman" w:cs="Times New Roman"/>
          <w:sz w:val="24"/>
          <w:szCs w:val="24"/>
        </w:rPr>
        <w:t>.gadu – 80% pašvaldību budžetos un 20% valsts budžetā. Saskaņā ar nekustamā īpašuma nodokļa prognozi pašvaldības budžeta</w:t>
      </w:r>
      <w:r w:rsidRPr="00E51FB8">
        <w:rPr>
          <w:rFonts w:ascii="Times New Roman" w:eastAsia="Calibri" w:hAnsi="Times New Roman" w:cs="Times New Roman"/>
          <w:sz w:val="24"/>
          <w:szCs w:val="24"/>
        </w:rPr>
        <w:t xml:space="preserve"> īpašuma nodokļa ieņēmumi pieaugs par 5</w:t>
      </w:r>
      <w:r w:rsidR="008114B0">
        <w:rPr>
          <w:rFonts w:ascii="Times New Roman" w:eastAsia="Calibri" w:hAnsi="Times New Roman" w:cs="Times New Roman"/>
          <w:sz w:val="24"/>
          <w:szCs w:val="24"/>
        </w:rPr>
        <w:t>.5</w:t>
      </w:r>
      <w:r w:rsidRPr="00E51FB8">
        <w:rPr>
          <w:rFonts w:ascii="Times New Roman" w:eastAsia="Calibri" w:hAnsi="Times New Roman" w:cs="Times New Roman"/>
          <w:sz w:val="24"/>
          <w:szCs w:val="24"/>
        </w:rPr>
        <w:t xml:space="preserve"> % (</w:t>
      </w:r>
      <w:r w:rsidR="008114B0">
        <w:rPr>
          <w:rFonts w:ascii="Times New Roman" w:eastAsia="Calibri" w:hAnsi="Times New Roman" w:cs="Times New Roman"/>
          <w:sz w:val="24"/>
          <w:szCs w:val="24"/>
        </w:rPr>
        <w:t>28</w:t>
      </w:r>
      <w:r w:rsidR="00A6534C">
        <w:rPr>
          <w:rFonts w:ascii="Times New Roman" w:eastAsia="Calibri" w:hAnsi="Times New Roman" w:cs="Times New Roman"/>
          <w:sz w:val="24"/>
          <w:szCs w:val="24"/>
        </w:rPr>
        <w:t xml:space="preserve"> </w:t>
      </w:r>
      <w:r w:rsidR="008114B0">
        <w:rPr>
          <w:rFonts w:ascii="Times New Roman" w:eastAsia="Calibri" w:hAnsi="Times New Roman" w:cs="Times New Roman"/>
          <w:sz w:val="24"/>
          <w:szCs w:val="24"/>
        </w:rPr>
        <w:t>860</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Parādus par nekustamā īpašuma nodo</w:t>
      </w:r>
      <w:r w:rsidR="008114B0">
        <w:rPr>
          <w:rFonts w:ascii="Times New Roman" w:eastAsia="Calibri" w:hAnsi="Times New Roman" w:cs="Times New Roman"/>
          <w:sz w:val="24"/>
          <w:szCs w:val="24"/>
        </w:rPr>
        <w:t xml:space="preserve">kli tiek plānots iekasēt </w:t>
      </w:r>
      <w:r w:rsidR="00FB3D53" w:rsidRPr="00FB3D53">
        <w:rPr>
          <w:rFonts w:ascii="Times New Roman" w:eastAsia="Calibri" w:hAnsi="Times New Roman" w:cs="Times New Roman"/>
          <w:sz w:val="24"/>
          <w:szCs w:val="24"/>
        </w:rPr>
        <w:t>52</w:t>
      </w:r>
      <w:r w:rsidR="008114B0" w:rsidRPr="00FB3D53">
        <w:rPr>
          <w:rFonts w:ascii="Times New Roman" w:eastAsia="Calibri" w:hAnsi="Times New Roman" w:cs="Times New Roman"/>
          <w:sz w:val="24"/>
          <w:szCs w:val="24"/>
        </w:rPr>
        <w:t>%</w:t>
      </w:r>
      <w:r w:rsidR="008114B0">
        <w:rPr>
          <w:rFonts w:ascii="Times New Roman" w:eastAsia="Calibri" w:hAnsi="Times New Roman" w:cs="Times New Roman"/>
          <w:sz w:val="24"/>
          <w:szCs w:val="24"/>
        </w:rPr>
        <w:t xml:space="preserve"> (71</w:t>
      </w:r>
      <w:r w:rsidRPr="00E51FB8">
        <w:rPr>
          <w:rFonts w:ascii="Times New Roman" w:eastAsia="Calibri" w:hAnsi="Times New Roman" w:cs="Times New Roman"/>
          <w:sz w:val="24"/>
          <w:szCs w:val="24"/>
        </w:rPr>
        <w:t xml:space="preserve">000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no </w:t>
      </w:r>
      <w:r w:rsidRPr="00FB3D53">
        <w:rPr>
          <w:rFonts w:ascii="Times New Roman" w:eastAsia="Calibri" w:hAnsi="Times New Roman" w:cs="Times New Roman"/>
          <w:sz w:val="24"/>
          <w:szCs w:val="24"/>
        </w:rPr>
        <w:t>aprēķinātā parāda.</w:t>
      </w:r>
      <w:r w:rsidRPr="00E51FB8">
        <w:rPr>
          <w:rFonts w:ascii="Times New Roman" w:eastAsia="Calibri" w:hAnsi="Times New Roman" w:cs="Times New Roman"/>
          <w:sz w:val="24"/>
          <w:szCs w:val="24"/>
        </w:rPr>
        <w:t xml:space="preserve"> </w:t>
      </w:r>
    </w:p>
    <w:p w:rsidR="008807ED" w:rsidRPr="00835044" w:rsidRDefault="008807ED" w:rsidP="008807ED">
      <w:pPr>
        <w:spacing w:after="0" w:line="240" w:lineRule="auto"/>
        <w:ind w:right="57" w:firstLine="720"/>
        <w:jc w:val="both"/>
        <w:rPr>
          <w:rFonts w:ascii="Times New Roman" w:eastAsia="Calibri" w:hAnsi="Times New Roman" w:cs="Times New Roman"/>
          <w:sz w:val="24"/>
          <w:szCs w:val="24"/>
        </w:rPr>
      </w:pPr>
      <w:proofErr w:type="spellStart"/>
      <w:r w:rsidRPr="00E51FB8">
        <w:rPr>
          <w:rFonts w:ascii="Times New Roman" w:eastAsia="Calibri" w:hAnsi="Times New Roman" w:cs="Times New Roman"/>
          <w:sz w:val="24"/>
          <w:szCs w:val="24"/>
        </w:rPr>
        <w:t>Nenodokļu</w:t>
      </w:r>
      <w:proofErr w:type="spellEnd"/>
      <w:r w:rsidRPr="00E51FB8">
        <w:rPr>
          <w:rFonts w:ascii="Times New Roman" w:eastAsia="Calibri" w:hAnsi="Times New Roman" w:cs="Times New Roman"/>
          <w:sz w:val="24"/>
          <w:szCs w:val="24"/>
        </w:rPr>
        <w:t xml:space="preserve"> ieņēmumus 201</w:t>
      </w:r>
      <w:r w:rsidR="00CE72E8">
        <w:rPr>
          <w:rFonts w:ascii="Times New Roman" w:eastAsia="Calibri" w:hAnsi="Times New Roman" w:cs="Times New Roman"/>
          <w:sz w:val="24"/>
          <w:szCs w:val="24"/>
        </w:rPr>
        <w:t>6</w:t>
      </w:r>
      <w:r w:rsidRPr="00E51FB8">
        <w:rPr>
          <w:rFonts w:ascii="Times New Roman" w:eastAsia="Calibri" w:hAnsi="Times New Roman" w:cs="Times New Roman"/>
          <w:sz w:val="24"/>
          <w:szCs w:val="24"/>
        </w:rPr>
        <w:t xml:space="preserve">.gadā plānots iekasēt </w:t>
      </w:r>
      <w:r w:rsidR="00CE72E8">
        <w:rPr>
          <w:rFonts w:ascii="Times New Roman" w:eastAsia="Calibri" w:hAnsi="Times New Roman" w:cs="Times New Roman"/>
          <w:sz w:val="24"/>
          <w:szCs w:val="24"/>
        </w:rPr>
        <w:t>74 500</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apmērā. Šos ieņēmumus veido procentu ieņēmumi no kontu atlikumiem, valsts un</w:t>
      </w:r>
      <w:r w:rsidR="00CE72E8">
        <w:rPr>
          <w:rFonts w:ascii="Times New Roman" w:eastAsia="Calibri" w:hAnsi="Times New Roman" w:cs="Times New Roman"/>
          <w:sz w:val="24"/>
          <w:szCs w:val="24"/>
        </w:rPr>
        <w:t xml:space="preserve"> pašvaldību nodevas, naudas sodi</w:t>
      </w:r>
      <w:r w:rsidRPr="00E51FB8">
        <w:rPr>
          <w:rFonts w:ascii="Times New Roman" w:eastAsia="Calibri" w:hAnsi="Times New Roman" w:cs="Times New Roman"/>
          <w:sz w:val="24"/>
          <w:szCs w:val="24"/>
        </w:rPr>
        <w:t xml:space="preserve"> un sankcijas, kā arī ieņēmumi no īpašumu p</w:t>
      </w:r>
      <w:r w:rsidR="009723B5">
        <w:rPr>
          <w:rFonts w:ascii="Times New Roman" w:eastAsia="Calibri" w:hAnsi="Times New Roman" w:cs="Times New Roman"/>
          <w:sz w:val="24"/>
          <w:szCs w:val="24"/>
        </w:rPr>
        <w:t>ārdošanas. Salīdzinājumā ar 2015</w:t>
      </w:r>
      <w:r w:rsidRPr="00E51FB8">
        <w:rPr>
          <w:rFonts w:ascii="Times New Roman" w:eastAsia="Calibri" w:hAnsi="Times New Roman" w:cs="Times New Roman"/>
          <w:sz w:val="24"/>
          <w:szCs w:val="24"/>
        </w:rPr>
        <w:t xml:space="preserve">.gadu šeit ir plānots ieņēmumu </w:t>
      </w:r>
      <w:r w:rsidR="00CE72E8">
        <w:rPr>
          <w:rFonts w:ascii="Times New Roman" w:eastAsia="Calibri" w:hAnsi="Times New Roman" w:cs="Times New Roman"/>
          <w:sz w:val="24"/>
          <w:szCs w:val="24"/>
        </w:rPr>
        <w:t>samazinājums</w:t>
      </w:r>
      <w:r w:rsidRPr="00E51FB8">
        <w:rPr>
          <w:rFonts w:ascii="Times New Roman" w:eastAsia="Calibri" w:hAnsi="Times New Roman" w:cs="Times New Roman"/>
          <w:sz w:val="24"/>
          <w:szCs w:val="24"/>
        </w:rPr>
        <w:t xml:space="preserve"> par </w:t>
      </w:r>
      <w:r w:rsidR="00CE72E8">
        <w:rPr>
          <w:rFonts w:ascii="Times New Roman" w:eastAsia="Calibri" w:hAnsi="Times New Roman" w:cs="Times New Roman"/>
          <w:sz w:val="24"/>
          <w:szCs w:val="24"/>
        </w:rPr>
        <w:t>22 440</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jo </w:t>
      </w:r>
      <w:r w:rsidR="00CE72E8">
        <w:rPr>
          <w:rFonts w:ascii="Times New Roman" w:eastAsia="Calibri" w:hAnsi="Times New Roman" w:cs="Times New Roman"/>
          <w:sz w:val="24"/>
          <w:szCs w:val="24"/>
        </w:rPr>
        <w:t>ne</w:t>
      </w:r>
      <w:r w:rsidRPr="00E51FB8">
        <w:rPr>
          <w:rFonts w:ascii="Times New Roman" w:eastAsia="Calibri" w:hAnsi="Times New Roman" w:cs="Times New Roman"/>
          <w:sz w:val="24"/>
          <w:szCs w:val="24"/>
        </w:rPr>
        <w:t>tiek plānot</w:t>
      </w:r>
      <w:r w:rsidR="00CE72E8">
        <w:rPr>
          <w:rFonts w:ascii="Times New Roman" w:eastAsia="Calibri" w:hAnsi="Times New Roman" w:cs="Times New Roman"/>
          <w:sz w:val="24"/>
          <w:szCs w:val="24"/>
        </w:rPr>
        <w:t>a</w:t>
      </w:r>
      <w:r w:rsidR="00835044">
        <w:rPr>
          <w:rFonts w:ascii="Times New Roman" w:eastAsia="Calibri" w:hAnsi="Times New Roman" w:cs="Times New Roman"/>
          <w:sz w:val="24"/>
          <w:szCs w:val="24"/>
        </w:rPr>
        <w:t xml:space="preserve"> meža īpašumu</w:t>
      </w:r>
      <w:r w:rsidR="009723B5">
        <w:rPr>
          <w:rFonts w:ascii="Times New Roman" w:eastAsia="Calibri" w:hAnsi="Times New Roman" w:cs="Times New Roman"/>
          <w:sz w:val="24"/>
          <w:szCs w:val="24"/>
        </w:rPr>
        <w:t xml:space="preserve"> pārdošana</w:t>
      </w:r>
      <w:r w:rsidR="00835044">
        <w:rPr>
          <w:rFonts w:ascii="Times New Roman" w:eastAsia="Calibri" w:hAnsi="Times New Roman" w:cs="Times New Roman"/>
          <w:sz w:val="24"/>
          <w:szCs w:val="24"/>
        </w:rPr>
        <w:t xml:space="preserve"> un zemes </w:t>
      </w:r>
      <w:r w:rsidR="00835044">
        <w:rPr>
          <w:rFonts w:ascii="Times New Roman" w:eastAsia="Calibri" w:hAnsi="Times New Roman" w:cs="Times New Roman"/>
          <w:sz w:val="24"/>
          <w:szCs w:val="24"/>
        </w:rPr>
        <w:lastRenderedPageBreak/>
        <w:t>atsavināšana. 2015.gadā ieņēmumi no pašvaldības īpašuma pārdošanas bija plānoti</w:t>
      </w:r>
      <w:r w:rsidR="00D81772">
        <w:rPr>
          <w:rFonts w:ascii="Times New Roman" w:eastAsia="Calibri" w:hAnsi="Times New Roman" w:cs="Times New Roman"/>
          <w:sz w:val="24"/>
          <w:szCs w:val="24"/>
        </w:rPr>
        <w:t xml:space="preserve">                    </w:t>
      </w:r>
      <w:r w:rsidR="00835044">
        <w:rPr>
          <w:rFonts w:ascii="Times New Roman" w:eastAsia="Calibri" w:hAnsi="Times New Roman" w:cs="Times New Roman"/>
          <w:sz w:val="24"/>
          <w:szCs w:val="24"/>
        </w:rPr>
        <w:t xml:space="preserve"> 91 280  </w:t>
      </w:r>
      <w:proofErr w:type="spellStart"/>
      <w:r w:rsidR="00835044" w:rsidRPr="00E51FB8">
        <w:rPr>
          <w:rFonts w:ascii="Times New Roman" w:eastAsia="Calibri" w:hAnsi="Times New Roman" w:cs="Times New Roman"/>
          <w:i/>
          <w:sz w:val="24"/>
          <w:szCs w:val="24"/>
        </w:rPr>
        <w:t>euro</w:t>
      </w:r>
      <w:proofErr w:type="spellEnd"/>
      <w:r w:rsidR="00835044">
        <w:rPr>
          <w:rFonts w:ascii="Times New Roman" w:eastAsia="Calibri" w:hAnsi="Times New Roman" w:cs="Times New Roman"/>
          <w:i/>
          <w:sz w:val="24"/>
          <w:szCs w:val="24"/>
        </w:rPr>
        <w:t xml:space="preserve">, </w:t>
      </w:r>
      <w:r w:rsidR="00835044">
        <w:rPr>
          <w:rFonts w:ascii="Times New Roman" w:eastAsia="Calibri" w:hAnsi="Times New Roman" w:cs="Times New Roman"/>
          <w:sz w:val="24"/>
          <w:szCs w:val="24"/>
        </w:rPr>
        <w:t xml:space="preserve">šogad – </w:t>
      </w:r>
      <w:r w:rsidR="006B3269">
        <w:rPr>
          <w:rFonts w:ascii="Times New Roman" w:eastAsia="Calibri" w:hAnsi="Times New Roman" w:cs="Times New Roman"/>
          <w:sz w:val="24"/>
          <w:szCs w:val="24"/>
        </w:rPr>
        <w:t xml:space="preserve"> </w:t>
      </w:r>
      <w:r w:rsidR="00835044">
        <w:rPr>
          <w:rFonts w:ascii="Times New Roman" w:eastAsia="Calibri" w:hAnsi="Times New Roman" w:cs="Times New Roman"/>
          <w:sz w:val="24"/>
          <w:szCs w:val="24"/>
        </w:rPr>
        <w:t xml:space="preserve">67 300 </w:t>
      </w:r>
      <w:proofErr w:type="spellStart"/>
      <w:r w:rsidR="00835044" w:rsidRPr="00E51FB8">
        <w:rPr>
          <w:rFonts w:ascii="Times New Roman" w:eastAsia="Calibri" w:hAnsi="Times New Roman" w:cs="Times New Roman"/>
          <w:i/>
          <w:sz w:val="24"/>
          <w:szCs w:val="24"/>
        </w:rPr>
        <w:t>euro</w:t>
      </w:r>
      <w:proofErr w:type="spellEnd"/>
      <w:r w:rsidR="00835044">
        <w:rPr>
          <w:rFonts w:ascii="Times New Roman" w:eastAsia="Calibri" w:hAnsi="Times New Roman" w:cs="Times New Roman"/>
          <w:i/>
          <w:sz w:val="24"/>
          <w:szCs w:val="24"/>
        </w:rPr>
        <w:t xml:space="preserve">. </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Ieņēmumi no maksas pakalpojumiem un citi pašu ieņēmumi plānoti </w:t>
      </w:r>
      <w:r w:rsidR="00835044">
        <w:rPr>
          <w:rFonts w:ascii="Times New Roman" w:eastAsia="Calibri" w:hAnsi="Times New Roman" w:cs="Times New Roman"/>
          <w:sz w:val="24"/>
          <w:szCs w:val="24"/>
        </w:rPr>
        <w:t>257 425</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Salīdzinājumā ar 201</w:t>
      </w:r>
      <w:r w:rsidR="00835044">
        <w:rPr>
          <w:rFonts w:ascii="Times New Roman" w:eastAsia="Calibri" w:hAnsi="Times New Roman" w:cs="Times New Roman"/>
          <w:sz w:val="24"/>
          <w:szCs w:val="24"/>
        </w:rPr>
        <w:t>5</w:t>
      </w:r>
      <w:r w:rsidRPr="00E51FB8">
        <w:rPr>
          <w:rFonts w:ascii="Times New Roman" w:eastAsia="Calibri" w:hAnsi="Times New Roman" w:cs="Times New Roman"/>
          <w:sz w:val="24"/>
          <w:szCs w:val="24"/>
        </w:rPr>
        <w:t xml:space="preserve">. gadu maksas pakalpojumi un citi pašu ieņēmumi ir </w:t>
      </w:r>
      <w:r w:rsidR="00835044">
        <w:rPr>
          <w:rFonts w:ascii="Times New Roman" w:eastAsia="Calibri" w:hAnsi="Times New Roman" w:cs="Times New Roman"/>
          <w:sz w:val="24"/>
          <w:szCs w:val="24"/>
        </w:rPr>
        <w:t>palielinājušies</w:t>
      </w:r>
      <w:r w:rsidRPr="00E51FB8">
        <w:rPr>
          <w:rFonts w:ascii="Times New Roman" w:eastAsia="Calibri" w:hAnsi="Times New Roman" w:cs="Times New Roman"/>
          <w:sz w:val="24"/>
          <w:szCs w:val="24"/>
        </w:rPr>
        <w:t xml:space="preserve"> par </w:t>
      </w:r>
      <w:r w:rsidR="00835044">
        <w:rPr>
          <w:rFonts w:ascii="Times New Roman" w:eastAsia="Calibri" w:hAnsi="Times New Roman" w:cs="Times New Roman"/>
          <w:sz w:val="24"/>
          <w:szCs w:val="24"/>
        </w:rPr>
        <w:t xml:space="preserve">5166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r w:rsidR="00835044">
        <w:rPr>
          <w:rFonts w:ascii="Times New Roman" w:eastAsia="Calibri" w:hAnsi="Times New Roman" w:cs="Times New Roman"/>
          <w:sz w:val="24"/>
          <w:szCs w:val="24"/>
        </w:rPr>
        <w:t xml:space="preserve">galveno palielinājuma apmēru sastāda </w:t>
      </w:r>
      <w:r w:rsidR="009430A0">
        <w:rPr>
          <w:rFonts w:ascii="Times New Roman" w:eastAsia="Calibri" w:hAnsi="Times New Roman" w:cs="Times New Roman"/>
          <w:sz w:val="24"/>
          <w:szCs w:val="24"/>
        </w:rPr>
        <w:t>ieņēmumi par dzīvokļu un komunālajiem pakalpojumiem.</w:t>
      </w:r>
    </w:p>
    <w:p w:rsidR="009430A0" w:rsidRDefault="008807ED" w:rsidP="008807E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t xml:space="preserve">Valsts budžeta </w:t>
      </w:r>
      <w:proofErr w:type="spellStart"/>
      <w:r w:rsidRPr="00E51FB8">
        <w:rPr>
          <w:rFonts w:ascii="Times New Roman" w:eastAsia="Calibri" w:hAnsi="Times New Roman" w:cs="Times New Roman"/>
          <w:sz w:val="24"/>
          <w:szCs w:val="24"/>
        </w:rPr>
        <w:t>transferti</w:t>
      </w:r>
      <w:proofErr w:type="spellEnd"/>
      <w:r w:rsidRPr="00E51FB8">
        <w:rPr>
          <w:rFonts w:ascii="Times New Roman" w:eastAsia="Calibri" w:hAnsi="Times New Roman" w:cs="Times New Roman"/>
          <w:sz w:val="24"/>
          <w:szCs w:val="24"/>
        </w:rPr>
        <w:t xml:space="preserve"> </w:t>
      </w:r>
      <w:r w:rsidR="00C25D24">
        <w:rPr>
          <w:rFonts w:ascii="Times New Roman" w:eastAsia="Calibri" w:hAnsi="Times New Roman" w:cs="Times New Roman"/>
          <w:sz w:val="24"/>
          <w:szCs w:val="24"/>
        </w:rPr>
        <w:t xml:space="preserve">2016.gadā plānoti 4 057 089 </w:t>
      </w:r>
      <w:proofErr w:type="spellStart"/>
      <w:r w:rsidR="00C25D24" w:rsidRPr="00E51FB8">
        <w:rPr>
          <w:rFonts w:ascii="Times New Roman" w:eastAsia="Calibri" w:hAnsi="Times New Roman" w:cs="Times New Roman"/>
          <w:i/>
          <w:sz w:val="24"/>
          <w:szCs w:val="24"/>
        </w:rPr>
        <w:t>euro</w:t>
      </w:r>
      <w:proofErr w:type="spellEnd"/>
      <w:r w:rsidR="00C25D24">
        <w:rPr>
          <w:rFonts w:ascii="Times New Roman" w:eastAsia="Calibri" w:hAnsi="Times New Roman" w:cs="Times New Roman"/>
          <w:i/>
          <w:sz w:val="24"/>
          <w:szCs w:val="24"/>
        </w:rPr>
        <w:t xml:space="preserve"> </w:t>
      </w:r>
      <w:r w:rsidR="00C25D24">
        <w:rPr>
          <w:rFonts w:ascii="Times New Roman" w:eastAsia="Calibri" w:hAnsi="Times New Roman" w:cs="Times New Roman"/>
          <w:sz w:val="24"/>
          <w:szCs w:val="24"/>
        </w:rPr>
        <w:t>jeb 48% no kopējiem pašvaldības budžeta ieņēmumiem</w:t>
      </w:r>
      <w:r w:rsidR="00C25D24">
        <w:rPr>
          <w:rFonts w:ascii="Times New Roman" w:eastAsia="Calibri" w:hAnsi="Times New Roman" w:cs="Times New Roman"/>
          <w:i/>
          <w:sz w:val="24"/>
          <w:szCs w:val="24"/>
        </w:rPr>
        <w:t xml:space="preserve">, </w:t>
      </w:r>
      <w:r w:rsidR="00C25D24" w:rsidRPr="00C25D24">
        <w:rPr>
          <w:rFonts w:ascii="Times New Roman" w:eastAsia="Calibri" w:hAnsi="Times New Roman" w:cs="Times New Roman"/>
          <w:sz w:val="24"/>
          <w:szCs w:val="24"/>
        </w:rPr>
        <w:t>no tiem</w:t>
      </w:r>
      <w:r w:rsidR="00C25D24">
        <w:rPr>
          <w:rFonts w:ascii="Times New Roman" w:eastAsia="Calibri" w:hAnsi="Times New Roman" w:cs="Times New Roman"/>
          <w:sz w:val="24"/>
          <w:szCs w:val="24"/>
        </w:rPr>
        <w:t xml:space="preserve">:  </w:t>
      </w:r>
      <w:r w:rsidRPr="00E51FB8">
        <w:rPr>
          <w:rFonts w:ascii="Times New Roman" w:eastAsia="Calibri" w:hAnsi="Times New Roman" w:cs="Times New Roman"/>
          <w:sz w:val="24"/>
          <w:szCs w:val="24"/>
        </w:rPr>
        <w:t xml:space="preserve"> mērķdotācijas un dotācijas </w:t>
      </w:r>
      <w:r w:rsidR="009430A0">
        <w:rPr>
          <w:rFonts w:ascii="Times New Roman" w:eastAsia="Calibri" w:hAnsi="Times New Roman" w:cs="Times New Roman"/>
          <w:sz w:val="24"/>
          <w:szCs w:val="24"/>
        </w:rPr>
        <w:t>plānotas 2 079 185 (24</w:t>
      </w:r>
      <w:r w:rsidRPr="00E51FB8">
        <w:rPr>
          <w:rFonts w:ascii="Times New Roman" w:eastAsia="Calibri" w:hAnsi="Times New Roman" w:cs="Times New Roman"/>
          <w:sz w:val="24"/>
          <w:szCs w:val="24"/>
        </w:rPr>
        <w:t xml:space="preserve"> % no ieņēmum</w:t>
      </w:r>
      <w:r w:rsidR="009430A0">
        <w:rPr>
          <w:rFonts w:ascii="Times New Roman" w:eastAsia="Calibri" w:hAnsi="Times New Roman" w:cs="Times New Roman"/>
          <w:sz w:val="24"/>
          <w:szCs w:val="24"/>
        </w:rPr>
        <w:t xml:space="preserve">iem). </w:t>
      </w:r>
      <w:proofErr w:type="spellStart"/>
      <w:r w:rsidR="009430A0">
        <w:rPr>
          <w:rFonts w:ascii="Times New Roman" w:eastAsia="Calibri" w:hAnsi="Times New Roman" w:cs="Times New Roman"/>
          <w:sz w:val="24"/>
          <w:szCs w:val="24"/>
        </w:rPr>
        <w:t>Transferti</w:t>
      </w:r>
      <w:proofErr w:type="spellEnd"/>
      <w:r w:rsidR="009430A0">
        <w:rPr>
          <w:rFonts w:ascii="Times New Roman" w:eastAsia="Calibri" w:hAnsi="Times New Roman" w:cs="Times New Roman"/>
          <w:sz w:val="24"/>
          <w:szCs w:val="24"/>
        </w:rPr>
        <w:t xml:space="preserve"> plānoti par 5.1</w:t>
      </w:r>
      <w:r w:rsidRPr="00E51FB8">
        <w:rPr>
          <w:rFonts w:ascii="Times New Roman" w:eastAsia="Calibri" w:hAnsi="Times New Roman" w:cs="Times New Roman"/>
          <w:sz w:val="24"/>
          <w:szCs w:val="24"/>
        </w:rPr>
        <w:t xml:space="preserve">% vairāk </w:t>
      </w:r>
      <w:r w:rsidR="006B3269">
        <w:rPr>
          <w:rFonts w:ascii="Times New Roman" w:eastAsia="Calibri" w:hAnsi="Times New Roman" w:cs="Times New Roman"/>
          <w:sz w:val="24"/>
          <w:szCs w:val="24"/>
        </w:rPr>
        <w:t xml:space="preserve">           </w:t>
      </w:r>
      <w:r w:rsidRPr="00E51FB8">
        <w:rPr>
          <w:rFonts w:ascii="Times New Roman" w:eastAsia="Calibri" w:hAnsi="Times New Roman" w:cs="Times New Roman"/>
          <w:sz w:val="24"/>
          <w:szCs w:val="24"/>
        </w:rPr>
        <w:t>(</w:t>
      </w:r>
      <w:r w:rsidR="009430A0">
        <w:rPr>
          <w:rFonts w:ascii="Times New Roman" w:eastAsia="Calibri" w:hAnsi="Times New Roman" w:cs="Times New Roman"/>
          <w:sz w:val="24"/>
          <w:szCs w:val="24"/>
        </w:rPr>
        <w:t>102 378</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Valst</w:t>
      </w:r>
      <w:r w:rsidR="009430A0">
        <w:rPr>
          <w:rFonts w:ascii="Times New Roman" w:eastAsia="Calibri" w:hAnsi="Times New Roman" w:cs="Times New Roman"/>
          <w:sz w:val="24"/>
          <w:szCs w:val="24"/>
        </w:rPr>
        <w:t xml:space="preserve">s budžeta </w:t>
      </w:r>
      <w:proofErr w:type="spellStart"/>
      <w:r w:rsidR="009430A0">
        <w:rPr>
          <w:rFonts w:ascii="Times New Roman" w:eastAsia="Calibri" w:hAnsi="Times New Roman" w:cs="Times New Roman"/>
          <w:sz w:val="24"/>
          <w:szCs w:val="24"/>
        </w:rPr>
        <w:t>transfertu</w:t>
      </w:r>
      <w:proofErr w:type="spellEnd"/>
      <w:r w:rsidR="009430A0">
        <w:rPr>
          <w:rFonts w:ascii="Times New Roman" w:eastAsia="Calibri" w:hAnsi="Times New Roman" w:cs="Times New Roman"/>
          <w:sz w:val="24"/>
          <w:szCs w:val="24"/>
        </w:rPr>
        <w:t xml:space="preserve"> apjoms 2016</w:t>
      </w:r>
      <w:r w:rsidRPr="00E51FB8">
        <w:rPr>
          <w:rFonts w:ascii="Times New Roman" w:eastAsia="Calibri" w:hAnsi="Times New Roman" w:cs="Times New Roman"/>
          <w:sz w:val="24"/>
          <w:szCs w:val="24"/>
        </w:rPr>
        <w:t>.gadā ir plānots, ņemot vērā 201</w:t>
      </w:r>
      <w:r w:rsidR="009430A0">
        <w:rPr>
          <w:rFonts w:ascii="Times New Roman" w:eastAsia="Calibri" w:hAnsi="Times New Roman" w:cs="Times New Roman"/>
          <w:sz w:val="24"/>
          <w:szCs w:val="24"/>
        </w:rPr>
        <w:t>6</w:t>
      </w:r>
      <w:r w:rsidRPr="00E51FB8">
        <w:rPr>
          <w:rFonts w:ascii="Times New Roman" w:eastAsia="Calibri" w:hAnsi="Times New Roman" w:cs="Times New Roman"/>
          <w:sz w:val="24"/>
          <w:szCs w:val="24"/>
        </w:rPr>
        <w:t>.gada valsts budžetā paredzēto finansējumu, spēkā esošos normatīvos aktus (Ministru kabineta 2012.gada 18.decembra noteikumi Nr.942 „Kārtība, kādā piešķir un finansē asistenta pakalpojumu pašvaldībā”, Ministru kabineta 2012.gada 25.septembra noteikumi Nr.670 „Kārtība, kādā pašvaldībām tiek aprēķināta un sadalīta valsts budžeta mērķdotācija māksliniecisko kolektīvu vadītāju darba samaksai un valsts sociālās apdrošināšanas obligātajām iemaksām”, noslēgtos līgumus par Eiropas Savienības fondu apguvi</w:t>
      </w:r>
      <w:r w:rsidR="009430A0">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w:t>
      </w:r>
    </w:p>
    <w:p w:rsidR="009723B5" w:rsidRDefault="009430A0" w:rsidP="006B3269">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Pašvaldību no valsts budžeta iestādēm saņemtie </w:t>
      </w:r>
      <w:proofErr w:type="spellStart"/>
      <w:r>
        <w:rPr>
          <w:rFonts w:ascii="Times New Roman" w:eastAsia="Calibri" w:hAnsi="Times New Roman" w:cs="Times New Roman"/>
          <w:sz w:val="24"/>
          <w:szCs w:val="24"/>
        </w:rPr>
        <w:t>transferti</w:t>
      </w:r>
      <w:proofErr w:type="spellEnd"/>
      <w:r>
        <w:rPr>
          <w:rFonts w:ascii="Times New Roman" w:eastAsia="Calibri" w:hAnsi="Times New Roman" w:cs="Times New Roman"/>
          <w:sz w:val="24"/>
          <w:szCs w:val="24"/>
        </w:rPr>
        <w:t xml:space="preserve"> Eiropas Savienības līdzfinansētiem projektiem 2016.gadā plānoti 242 124 </w:t>
      </w:r>
      <w:proofErr w:type="spellStart"/>
      <w:r w:rsidRPr="00E51FB8">
        <w:rPr>
          <w:rFonts w:ascii="Times New Roman" w:eastAsia="Calibri" w:hAnsi="Times New Roman" w:cs="Times New Roman"/>
          <w:i/>
          <w:sz w:val="24"/>
          <w:szCs w:val="24"/>
        </w:rPr>
        <w:t>euro</w:t>
      </w:r>
      <w:proofErr w:type="spellEnd"/>
      <w:r w:rsidRPr="00AF66B6">
        <w:rPr>
          <w:rFonts w:ascii="Times New Roman" w:eastAsia="Calibri" w:hAnsi="Times New Roman" w:cs="Times New Roman"/>
          <w:sz w:val="24"/>
          <w:szCs w:val="24"/>
        </w:rPr>
        <w:t>; palielinājums</w:t>
      </w:r>
      <w:r w:rsidR="00AF66B6">
        <w:rPr>
          <w:rFonts w:ascii="Times New Roman" w:eastAsia="Calibri" w:hAnsi="Times New Roman" w:cs="Times New Roman"/>
          <w:sz w:val="24"/>
          <w:szCs w:val="24"/>
        </w:rPr>
        <w:t xml:space="preserve"> 169 625</w:t>
      </w:r>
      <w:r w:rsidRPr="00AF66B6">
        <w:rPr>
          <w:rFonts w:ascii="Times New Roman" w:eastAsia="Calibri" w:hAnsi="Times New Roman" w:cs="Times New Roman"/>
          <w:sz w:val="24"/>
          <w:szCs w:val="24"/>
        </w:rPr>
        <w:t xml:space="preserve"> </w:t>
      </w:r>
      <w:proofErr w:type="spellStart"/>
      <w:r w:rsidR="00AF66B6" w:rsidRPr="00E51FB8">
        <w:rPr>
          <w:rFonts w:ascii="Times New Roman" w:eastAsia="Calibri" w:hAnsi="Times New Roman" w:cs="Times New Roman"/>
          <w:i/>
          <w:sz w:val="24"/>
          <w:szCs w:val="24"/>
        </w:rPr>
        <w:t>euro</w:t>
      </w:r>
      <w:proofErr w:type="spellEnd"/>
      <w:r w:rsidR="006B3269">
        <w:rPr>
          <w:rFonts w:ascii="Times New Roman" w:eastAsia="Calibri" w:hAnsi="Times New Roman" w:cs="Times New Roman"/>
          <w:i/>
          <w:sz w:val="24"/>
          <w:szCs w:val="24"/>
        </w:rPr>
        <w:t>.</w:t>
      </w:r>
    </w:p>
    <w:p w:rsidR="009430A0" w:rsidRPr="006B3269" w:rsidRDefault="005B3B26" w:rsidP="006B3269">
      <w:pPr>
        <w:spacing w:after="0" w:line="240" w:lineRule="auto"/>
        <w:ind w:firstLine="709"/>
        <w:jc w:val="both"/>
        <w:rPr>
          <w:rFonts w:ascii="Times New Roman" w:eastAsia="Calibri" w:hAnsi="Times New Roman" w:cs="Times New Roman"/>
          <w:sz w:val="24"/>
          <w:szCs w:val="24"/>
        </w:rPr>
      </w:pPr>
      <w:r w:rsidRPr="006B3269">
        <w:rPr>
          <w:rFonts w:ascii="Times New Roman" w:eastAsia="Calibri" w:hAnsi="Times New Roman" w:cs="Times New Roman"/>
          <w:sz w:val="24"/>
          <w:szCs w:val="24"/>
        </w:rPr>
        <w:t xml:space="preserve">Pašvaldības budžetā saņemtā dotācija no pašvaldību finanšu izlīdzināšanas fonda  2016.gadā samazinājusies par </w:t>
      </w:r>
      <w:r w:rsidR="007D407D" w:rsidRPr="006B3269">
        <w:rPr>
          <w:rFonts w:ascii="Times New Roman" w:eastAsia="Calibri" w:hAnsi="Times New Roman" w:cs="Times New Roman"/>
          <w:sz w:val="24"/>
          <w:szCs w:val="24"/>
        </w:rPr>
        <w:t>1557</w:t>
      </w:r>
      <w:r w:rsidRPr="006B3269">
        <w:rPr>
          <w:rFonts w:ascii="Times New Roman" w:eastAsia="Calibri" w:hAnsi="Times New Roman" w:cs="Times New Roman"/>
          <w:sz w:val="24"/>
          <w:szCs w:val="24"/>
        </w:rPr>
        <w:t xml:space="preserve"> </w:t>
      </w:r>
      <w:proofErr w:type="spellStart"/>
      <w:r w:rsidRPr="006B3269">
        <w:rPr>
          <w:rFonts w:ascii="Times New Roman" w:eastAsia="Calibri" w:hAnsi="Times New Roman" w:cs="Times New Roman"/>
          <w:i/>
          <w:sz w:val="24"/>
          <w:szCs w:val="24"/>
        </w:rPr>
        <w:t>euro</w:t>
      </w:r>
      <w:proofErr w:type="spellEnd"/>
      <w:r w:rsidRPr="006B3269">
        <w:rPr>
          <w:rFonts w:ascii="Times New Roman" w:eastAsia="Calibri" w:hAnsi="Times New Roman" w:cs="Times New Roman"/>
          <w:sz w:val="24"/>
          <w:szCs w:val="24"/>
        </w:rPr>
        <w:t xml:space="preserve"> un plānota 1 735 780 </w:t>
      </w:r>
      <w:proofErr w:type="spellStart"/>
      <w:r w:rsidRPr="006B3269">
        <w:rPr>
          <w:rFonts w:ascii="Times New Roman" w:eastAsia="Calibri" w:hAnsi="Times New Roman" w:cs="Times New Roman"/>
          <w:i/>
          <w:sz w:val="24"/>
          <w:szCs w:val="24"/>
        </w:rPr>
        <w:t>euro</w:t>
      </w:r>
      <w:proofErr w:type="spellEnd"/>
      <w:r w:rsidRPr="006B3269">
        <w:rPr>
          <w:rFonts w:ascii="Times New Roman" w:eastAsia="Calibri" w:hAnsi="Times New Roman" w:cs="Times New Roman"/>
          <w:i/>
          <w:sz w:val="24"/>
          <w:szCs w:val="24"/>
        </w:rPr>
        <w:t xml:space="preserve"> </w:t>
      </w:r>
      <w:r w:rsidRPr="006B3269">
        <w:rPr>
          <w:rFonts w:ascii="Times New Roman" w:eastAsia="Calibri" w:hAnsi="Times New Roman" w:cs="Times New Roman"/>
          <w:sz w:val="24"/>
          <w:szCs w:val="24"/>
        </w:rPr>
        <w:t>apmērā.</w:t>
      </w:r>
      <w:r w:rsidR="00AF66B6" w:rsidRPr="006B3269">
        <w:rPr>
          <w:rFonts w:ascii="Times New Roman" w:eastAsia="Calibri" w:hAnsi="Times New Roman" w:cs="Times New Roman"/>
          <w:i/>
          <w:sz w:val="24"/>
          <w:szCs w:val="24"/>
        </w:rPr>
        <w:t xml:space="preserve"> </w:t>
      </w:r>
      <w:r w:rsidR="003A2C05" w:rsidRPr="006B3269">
        <w:rPr>
          <w:rFonts w:ascii="Times New Roman" w:hAnsi="Times New Roman" w:cs="Times New Roman"/>
          <w:sz w:val="24"/>
          <w:szCs w:val="24"/>
        </w:rPr>
        <w:t xml:space="preserve">Dotācija pašvaldībām, lai vērtētos ieņēmumus pēc pašvaldību finanšu izlīdzināšanas nodrošinātu finanšu nepieciešamības neizlīdzināmās apakšējās robežas 99% līmenī 2016.gadā netiek plānota un tā veido samazinājumu </w:t>
      </w:r>
      <w:r w:rsidR="007D407D" w:rsidRPr="006B3269">
        <w:rPr>
          <w:rFonts w:ascii="Times New Roman" w:hAnsi="Times New Roman" w:cs="Times New Roman"/>
          <w:sz w:val="24"/>
          <w:szCs w:val="24"/>
        </w:rPr>
        <w:t xml:space="preserve">par 222263 </w:t>
      </w:r>
      <w:proofErr w:type="spellStart"/>
      <w:r w:rsidR="007D407D" w:rsidRPr="006B3269">
        <w:rPr>
          <w:rFonts w:ascii="Times New Roman" w:hAnsi="Times New Roman" w:cs="Times New Roman"/>
          <w:i/>
          <w:sz w:val="24"/>
          <w:szCs w:val="24"/>
        </w:rPr>
        <w:t>euro</w:t>
      </w:r>
      <w:proofErr w:type="spellEnd"/>
      <w:r w:rsidR="007D407D" w:rsidRPr="006B3269">
        <w:rPr>
          <w:rFonts w:ascii="Times New Roman" w:hAnsi="Times New Roman" w:cs="Times New Roman"/>
          <w:sz w:val="24"/>
          <w:szCs w:val="24"/>
        </w:rPr>
        <w:t xml:space="preserve"> </w:t>
      </w:r>
      <w:r w:rsidR="003A2C05" w:rsidRPr="006B3269">
        <w:rPr>
          <w:rFonts w:ascii="Times New Roman" w:hAnsi="Times New Roman" w:cs="Times New Roman"/>
          <w:sz w:val="24"/>
          <w:szCs w:val="24"/>
        </w:rPr>
        <w:t>salīdz</w:t>
      </w:r>
      <w:r w:rsidR="007D407D" w:rsidRPr="006B3269">
        <w:rPr>
          <w:rFonts w:ascii="Times New Roman" w:hAnsi="Times New Roman" w:cs="Times New Roman"/>
          <w:sz w:val="24"/>
          <w:szCs w:val="24"/>
        </w:rPr>
        <w:t xml:space="preserve">inājumā ar 2015.gadu. </w:t>
      </w:r>
    </w:p>
    <w:p w:rsidR="008807ED" w:rsidRPr="00E51FB8" w:rsidRDefault="00C25D24" w:rsidP="006B326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807ED" w:rsidRPr="00E51FB8">
        <w:rPr>
          <w:rFonts w:ascii="Times New Roman" w:eastAsia="Calibri" w:hAnsi="Times New Roman" w:cs="Times New Roman"/>
          <w:sz w:val="24"/>
          <w:szCs w:val="24"/>
        </w:rPr>
        <w:t xml:space="preserve">ašvaldību </w:t>
      </w:r>
      <w:r w:rsidR="00A50B66">
        <w:rPr>
          <w:rFonts w:ascii="Times New Roman" w:eastAsia="Calibri" w:hAnsi="Times New Roman" w:cs="Times New Roman"/>
          <w:sz w:val="24"/>
          <w:szCs w:val="24"/>
        </w:rPr>
        <w:t xml:space="preserve">saņemtie </w:t>
      </w:r>
      <w:proofErr w:type="spellStart"/>
      <w:r w:rsidR="008807ED" w:rsidRPr="00E51FB8">
        <w:rPr>
          <w:rFonts w:ascii="Times New Roman" w:eastAsia="Calibri" w:hAnsi="Times New Roman" w:cs="Times New Roman"/>
          <w:sz w:val="24"/>
          <w:szCs w:val="24"/>
        </w:rPr>
        <w:t>transferta</w:t>
      </w:r>
      <w:proofErr w:type="spellEnd"/>
      <w:r w:rsidR="008807ED" w:rsidRPr="00E51FB8">
        <w:rPr>
          <w:rFonts w:ascii="Times New Roman" w:eastAsia="Calibri" w:hAnsi="Times New Roman" w:cs="Times New Roman"/>
          <w:sz w:val="24"/>
          <w:szCs w:val="24"/>
        </w:rPr>
        <w:t xml:space="preserve"> ieņēmumi </w:t>
      </w:r>
      <w:r w:rsidR="00A50B66">
        <w:rPr>
          <w:rFonts w:ascii="Times New Roman" w:eastAsia="Calibri" w:hAnsi="Times New Roman" w:cs="Times New Roman"/>
          <w:sz w:val="24"/>
          <w:szCs w:val="24"/>
        </w:rPr>
        <w:t xml:space="preserve">no citām pašvaldībām </w:t>
      </w:r>
      <w:r w:rsidR="008807ED" w:rsidRPr="00E51FB8">
        <w:rPr>
          <w:rFonts w:ascii="Times New Roman" w:eastAsia="Calibri" w:hAnsi="Times New Roman" w:cs="Times New Roman"/>
          <w:sz w:val="24"/>
          <w:szCs w:val="24"/>
        </w:rPr>
        <w:t>ir plānoti par savstarpējiem no</w:t>
      </w:r>
      <w:r w:rsidR="00A50B66">
        <w:rPr>
          <w:rFonts w:ascii="Times New Roman" w:eastAsia="Calibri" w:hAnsi="Times New Roman" w:cs="Times New Roman"/>
          <w:sz w:val="24"/>
          <w:szCs w:val="24"/>
        </w:rPr>
        <w:t xml:space="preserve">rēķiniem par izglītības </w:t>
      </w:r>
      <w:r w:rsidR="008807ED" w:rsidRPr="00E51FB8">
        <w:rPr>
          <w:rFonts w:ascii="Times New Roman" w:eastAsia="Calibri" w:hAnsi="Times New Roman" w:cs="Times New Roman"/>
          <w:sz w:val="24"/>
          <w:szCs w:val="24"/>
        </w:rPr>
        <w:t>pakalpojumiem</w:t>
      </w:r>
      <w:r w:rsidR="00A50B66">
        <w:rPr>
          <w:rFonts w:ascii="Times New Roman" w:eastAsia="Calibri" w:hAnsi="Times New Roman" w:cs="Times New Roman"/>
          <w:sz w:val="24"/>
          <w:szCs w:val="24"/>
        </w:rPr>
        <w:t xml:space="preserve"> 173 647 </w:t>
      </w:r>
      <w:proofErr w:type="spellStart"/>
      <w:r w:rsidR="00A50B66"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w:t>
      </w:r>
    </w:p>
    <w:p w:rsidR="008807ED" w:rsidRPr="00E51FB8" w:rsidRDefault="008807ED" w:rsidP="008807ED">
      <w:pPr>
        <w:spacing w:after="0" w:line="240" w:lineRule="auto"/>
        <w:jc w:val="both"/>
        <w:rPr>
          <w:rFonts w:ascii="Times New Roman" w:eastAsia="Calibri" w:hAnsi="Times New Roman" w:cs="Times New Roman"/>
          <w:sz w:val="24"/>
          <w:szCs w:val="24"/>
        </w:rPr>
      </w:pPr>
    </w:p>
    <w:p w:rsidR="008807ED" w:rsidRPr="00A6534C" w:rsidRDefault="008807ED" w:rsidP="008807ED">
      <w:pPr>
        <w:spacing w:after="0" w:line="240" w:lineRule="auto"/>
        <w:jc w:val="both"/>
        <w:rPr>
          <w:rFonts w:ascii="Times New Roman" w:eastAsia="Calibri" w:hAnsi="Times New Roman" w:cs="Times New Roman"/>
          <w:sz w:val="24"/>
          <w:szCs w:val="24"/>
        </w:rPr>
      </w:pPr>
      <w:r w:rsidRPr="00A6534C">
        <w:rPr>
          <w:rFonts w:ascii="Times New Roman" w:eastAsia="Calibri" w:hAnsi="Times New Roman" w:cs="Times New Roman"/>
          <w:sz w:val="24"/>
          <w:szCs w:val="24"/>
        </w:rPr>
        <w:t>Pamatbudžeta ieņēmumu struktūra attēlā Nr.1</w:t>
      </w:r>
    </w:p>
    <w:p w:rsidR="008807ED" w:rsidRDefault="008807ED" w:rsidP="008807ED">
      <w:pPr>
        <w:spacing w:after="0" w:line="240" w:lineRule="auto"/>
        <w:jc w:val="both"/>
        <w:rPr>
          <w:rFonts w:ascii="Times New Roman" w:eastAsia="Calibri" w:hAnsi="Times New Roman" w:cs="Times New Roman"/>
          <w:i/>
          <w:sz w:val="24"/>
          <w:szCs w:val="24"/>
        </w:rPr>
      </w:pPr>
      <w:r w:rsidRPr="00A6534C">
        <w:rPr>
          <w:rFonts w:ascii="Times New Roman" w:eastAsia="Calibri" w:hAnsi="Times New Roman" w:cs="Times New Roman"/>
          <w:sz w:val="24"/>
          <w:szCs w:val="24"/>
        </w:rPr>
        <w:t xml:space="preserve">Kopējie ieņēmumi </w:t>
      </w:r>
      <w:r w:rsidR="00F676DE" w:rsidRPr="00A6534C">
        <w:rPr>
          <w:rFonts w:ascii="Times New Roman" w:eastAsia="Calibri" w:hAnsi="Times New Roman" w:cs="Times New Roman"/>
          <w:sz w:val="24"/>
          <w:szCs w:val="24"/>
        </w:rPr>
        <w:t>8 496 154</w:t>
      </w:r>
      <w:r w:rsidRPr="00A6534C">
        <w:rPr>
          <w:rFonts w:ascii="Times New Roman" w:eastAsia="Calibri" w:hAnsi="Times New Roman" w:cs="Times New Roman"/>
          <w:sz w:val="24"/>
          <w:szCs w:val="24"/>
        </w:rPr>
        <w:t xml:space="preserve"> </w:t>
      </w:r>
      <w:proofErr w:type="spellStart"/>
      <w:r w:rsidRPr="00A6534C">
        <w:rPr>
          <w:rFonts w:ascii="Times New Roman" w:eastAsia="Calibri" w:hAnsi="Times New Roman" w:cs="Times New Roman"/>
          <w:i/>
          <w:sz w:val="24"/>
          <w:szCs w:val="24"/>
        </w:rPr>
        <w:t>euro</w:t>
      </w:r>
      <w:proofErr w:type="spellEnd"/>
      <w:r w:rsidR="006B3269">
        <w:rPr>
          <w:rFonts w:ascii="Times New Roman" w:eastAsia="Calibri" w:hAnsi="Times New Roman" w:cs="Times New Roman"/>
          <w:i/>
          <w:sz w:val="24"/>
          <w:szCs w:val="24"/>
        </w:rPr>
        <w:t>.</w:t>
      </w:r>
    </w:p>
    <w:p w:rsidR="008807ED" w:rsidRPr="00E51FB8" w:rsidRDefault="008807ED" w:rsidP="008807ED">
      <w:pPr>
        <w:spacing w:after="0" w:line="240" w:lineRule="auto"/>
        <w:jc w:val="both"/>
        <w:rPr>
          <w:rFonts w:ascii="Times New Roman" w:eastAsia="Calibri" w:hAnsi="Times New Roman" w:cs="Times New Roman"/>
          <w:i/>
          <w:sz w:val="24"/>
          <w:szCs w:val="24"/>
        </w:rPr>
      </w:pPr>
    </w:p>
    <w:p w:rsidR="008807ED" w:rsidRPr="00E51FB8" w:rsidRDefault="008807ED" w:rsidP="008807E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685424CF" wp14:editId="7F14F61B">
            <wp:extent cx="6019800"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807ED" w:rsidRDefault="008807ED" w:rsidP="008807ED">
      <w:pPr>
        <w:spacing w:after="0" w:line="240" w:lineRule="auto"/>
        <w:jc w:val="both"/>
        <w:rPr>
          <w:rFonts w:ascii="Times New Roman" w:eastAsia="Calibri" w:hAnsi="Times New Roman" w:cs="Times New Roman"/>
          <w:sz w:val="24"/>
          <w:szCs w:val="24"/>
        </w:rPr>
      </w:pPr>
    </w:p>
    <w:p w:rsidR="00D81772" w:rsidRPr="00E51FB8" w:rsidRDefault="00D81772" w:rsidP="008807ED">
      <w:pPr>
        <w:spacing w:after="0" w:line="240" w:lineRule="auto"/>
        <w:jc w:val="both"/>
        <w:rPr>
          <w:rFonts w:ascii="Times New Roman" w:eastAsia="Calibri" w:hAnsi="Times New Roman" w:cs="Times New Roman"/>
          <w:sz w:val="24"/>
          <w:szCs w:val="24"/>
        </w:rPr>
      </w:pPr>
    </w:p>
    <w:p w:rsidR="008807ED" w:rsidRPr="00E51FB8" w:rsidRDefault="008807ED" w:rsidP="008807ED">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t>2. Izdevumi</w:t>
      </w:r>
    </w:p>
    <w:p w:rsidR="00AB0943" w:rsidRPr="00AB0943" w:rsidRDefault="00F676DE" w:rsidP="008807E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8807ED" w:rsidRPr="00E51FB8">
        <w:rPr>
          <w:rFonts w:ascii="Times New Roman" w:eastAsia="Calibri" w:hAnsi="Times New Roman" w:cs="Times New Roman"/>
          <w:sz w:val="24"/>
          <w:szCs w:val="24"/>
        </w:rPr>
        <w:t>novada pašvaldības 201</w:t>
      </w:r>
      <w:r>
        <w:rPr>
          <w:rFonts w:ascii="Times New Roman" w:eastAsia="Calibri" w:hAnsi="Times New Roman" w:cs="Times New Roman"/>
          <w:sz w:val="24"/>
          <w:szCs w:val="24"/>
        </w:rPr>
        <w:t>6</w:t>
      </w:r>
      <w:r w:rsidR="008807ED" w:rsidRPr="00E51FB8">
        <w:rPr>
          <w:rFonts w:ascii="Times New Roman" w:eastAsia="Calibri" w:hAnsi="Times New Roman" w:cs="Times New Roman"/>
          <w:sz w:val="24"/>
          <w:szCs w:val="24"/>
        </w:rPr>
        <w:t xml:space="preserve">. gada pamatbudžeta kopējie izdevumi ir plānoti </w:t>
      </w:r>
      <w:r>
        <w:rPr>
          <w:rFonts w:ascii="Times New Roman" w:eastAsia="Calibri" w:hAnsi="Times New Roman" w:cs="Times New Roman"/>
          <w:sz w:val="24"/>
          <w:szCs w:val="24"/>
        </w:rPr>
        <w:t>8 902 016</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i/>
          <w:sz w:val="24"/>
          <w:szCs w:val="24"/>
        </w:rPr>
        <w:t xml:space="preserve">. </w:t>
      </w:r>
      <w:r w:rsidR="008807ED" w:rsidRPr="00E51FB8">
        <w:rPr>
          <w:rFonts w:ascii="Times New Roman" w:eastAsia="Calibri" w:hAnsi="Times New Roman" w:cs="Times New Roman"/>
          <w:sz w:val="24"/>
          <w:szCs w:val="24"/>
        </w:rPr>
        <w:t>Salīdzinājumā ar 201</w:t>
      </w:r>
      <w:r>
        <w:rPr>
          <w:rFonts w:ascii="Times New Roman" w:eastAsia="Calibri" w:hAnsi="Times New Roman" w:cs="Times New Roman"/>
          <w:sz w:val="24"/>
          <w:szCs w:val="24"/>
        </w:rPr>
        <w:t>5</w:t>
      </w:r>
      <w:r w:rsidR="008807ED" w:rsidRPr="00E51FB8">
        <w:rPr>
          <w:rFonts w:ascii="Times New Roman" w:eastAsia="Calibri" w:hAnsi="Times New Roman" w:cs="Times New Roman"/>
          <w:sz w:val="24"/>
          <w:szCs w:val="24"/>
        </w:rPr>
        <w:t xml:space="preserve">.gadu </w:t>
      </w:r>
      <w:r>
        <w:rPr>
          <w:rFonts w:ascii="Times New Roman" w:eastAsia="Calibri" w:hAnsi="Times New Roman" w:cs="Times New Roman"/>
          <w:sz w:val="24"/>
          <w:szCs w:val="24"/>
        </w:rPr>
        <w:t>palielinājums</w:t>
      </w:r>
      <w:r w:rsidR="008807ED" w:rsidRPr="00E51FB8">
        <w:rPr>
          <w:rFonts w:ascii="Times New Roman" w:eastAsia="Calibri" w:hAnsi="Times New Roman" w:cs="Times New Roman"/>
          <w:sz w:val="24"/>
          <w:szCs w:val="24"/>
        </w:rPr>
        <w:t xml:space="preserve"> ir </w:t>
      </w:r>
      <w:r>
        <w:rPr>
          <w:rFonts w:ascii="Times New Roman" w:eastAsia="Calibri" w:hAnsi="Times New Roman" w:cs="Times New Roman"/>
          <w:sz w:val="24"/>
          <w:szCs w:val="24"/>
        </w:rPr>
        <w:t>725687</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Visi pašvaldības plānotie izdevumi pēc savas ekonomiskās būtības iedalīti deviņās funkcionālajās kategorijās</w:t>
      </w:r>
      <w:r w:rsidR="008807ED" w:rsidRPr="006346F0">
        <w:rPr>
          <w:rFonts w:ascii="Times New Roman" w:eastAsia="Calibri" w:hAnsi="Times New Roman" w:cs="Times New Roman"/>
          <w:sz w:val="24"/>
          <w:szCs w:val="24"/>
        </w:rPr>
        <w:t>, to sadalījums attēlā nr.2.</w:t>
      </w:r>
      <w:r w:rsidR="008807ED" w:rsidRPr="00E51FB8">
        <w:rPr>
          <w:rFonts w:ascii="Times New Roman" w:eastAsia="Calibri" w:hAnsi="Times New Roman" w:cs="Times New Roman"/>
          <w:sz w:val="24"/>
          <w:szCs w:val="24"/>
        </w:rPr>
        <w:t xml:space="preserve"> Lielākais izdevumu īpatsvars b</w:t>
      </w:r>
      <w:r w:rsidR="00A4457B">
        <w:rPr>
          <w:rFonts w:ascii="Times New Roman" w:eastAsia="Calibri" w:hAnsi="Times New Roman" w:cs="Times New Roman"/>
          <w:sz w:val="24"/>
          <w:szCs w:val="24"/>
        </w:rPr>
        <w:t>udžetā ir atbalsts izglītībai 48</w:t>
      </w:r>
      <w:r w:rsidR="008807ED" w:rsidRPr="00E51FB8">
        <w:rPr>
          <w:rFonts w:ascii="Times New Roman" w:eastAsia="Calibri" w:hAnsi="Times New Roman" w:cs="Times New Roman"/>
          <w:sz w:val="24"/>
          <w:szCs w:val="24"/>
        </w:rPr>
        <w:t xml:space="preserve">%, </w:t>
      </w:r>
      <w:r w:rsidR="00A4457B">
        <w:rPr>
          <w:rFonts w:ascii="Times New Roman" w:eastAsia="Calibri" w:hAnsi="Times New Roman" w:cs="Times New Roman"/>
          <w:sz w:val="24"/>
          <w:szCs w:val="24"/>
        </w:rPr>
        <w:t xml:space="preserve">teritoriju un mājokļu apsaimniekošanai 14%, </w:t>
      </w:r>
      <w:r w:rsidR="008807ED" w:rsidRPr="00E51FB8">
        <w:rPr>
          <w:rFonts w:ascii="Times New Roman" w:eastAsia="Calibri" w:hAnsi="Times New Roman" w:cs="Times New Roman"/>
          <w:sz w:val="24"/>
          <w:szCs w:val="24"/>
        </w:rPr>
        <w:t>kultūrai un sportam 1</w:t>
      </w:r>
      <w:r w:rsidR="00A4457B">
        <w:rPr>
          <w:rFonts w:ascii="Times New Roman" w:eastAsia="Calibri" w:hAnsi="Times New Roman" w:cs="Times New Roman"/>
          <w:sz w:val="24"/>
          <w:szCs w:val="24"/>
        </w:rPr>
        <w:t>3</w:t>
      </w:r>
      <w:r w:rsidR="008807ED" w:rsidRPr="00E51FB8">
        <w:rPr>
          <w:rFonts w:ascii="Times New Roman" w:eastAsia="Calibri" w:hAnsi="Times New Roman" w:cs="Times New Roman"/>
          <w:sz w:val="24"/>
          <w:szCs w:val="24"/>
        </w:rPr>
        <w:t>%</w:t>
      </w:r>
      <w:r w:rsidR="00A4457B">
        <w:rPr>
          <w:rFonts w:ascii="Times New Roman" w:eastAsia="Calibri" w:hAnsi="Times New Roman" w:cs="Times New Roman"/>
          <w:sz w:val="24"/>
          <w:szCs w:val="24"/>
        </w:rPr>
        <w:t>,</w:t>
      </w:r>
      <w:r w:rsidR="008807ED" w:rsidRPr="00E51FB8">
        <w:rPr>
          <w:rFonts w:ascii="Times New Roman" w:eastAsia="Calibri" w:hAnsi="Times New Roman" w:cs="Times New Roman"/>
          <w:sz w:val="24"/>
          <w:szCs w:val="24"/>
        </w:rPr>
        <w:t xml:space="preserve"> sociālajai palīdzībai un </w:t>
      </w:r>
      <w:r w:rsidR="008807ED" w:rsidRPr="00E51FB8">
        <w:rPr>
          <w:rFonts w:ascii="Times New Roman" w:eastAsia="Calibri" w:hAnsi="Times New Roman" w:cs="Times New Roman"/>
          <w:sz w:val="24"/>
          <w:szCs w:val="24"/>
        </w:rPr>
        <w:lastRenderedPageBreak/>
        <w:t xml:space="preserve">pakalpojumiem </w:t>
      </w:r>
      <w:r w:rsidR="00A4457B">
        <w:rPr>
          <w:rFonts w:ascii="Times New Roman" w:eastAsia="Calibri" w:hAnsi="Times New Roman" w:cs="Times New Roman"/>
          <w:sz w:val="24"/>
          <w:szCs w:val="24"/>
        </w:rPr>
        <w:t>10</w:t>
      </w:r>
      <w:r w:rsidR="008807ED" w:rsidRPr="00E51FB8">
        <w:rPr>
          <w:rFonts w:ascii="Times New Roman" w:eastAsia="Calibri" w:hAnsi="Times New Roman" w:cs="Times New Roman"/>
          <w:sz w:val="24"/>
          <w:szCs w:val="24"/>
        </w:rPr>
        <w:t xml:space="preserve">%. Visām pašvaldības </w:t>
      </w:r>
      <w:r w:rsidR="00A4457B">
        <w:rPr>
          <w:rFonts w:ascii="Times New Roman" w:eastAsia="Calibri" w:hAnsi="Times New Roman" w:cs="Times New Roman"/>
          <w:sz w:val="24"/>
          <w:szCs w:val="24"/>
        </w:rPr>
        <w:t>iestādēm, plānojot 2016</w:t>
      </w:r>
      <w:r w:rsidR="008807ED" w:rsidRPr="00E51FB8">
        <w:rPr>
          <w:rFonts w:ascii="Times New Roman" w:eastAsia="Calibri" w:hAnsi="Times New Roman" w:cs="Times New Roman"/>
          <w:sz w:val="24"/>
          <w:szCs w:val="24"/>
        </w:rPr>
        <w:t>. gada izdevumus, bija jāievēro vienādi nosac</w:t>
      </w:r>
      <w:r w:rsidR="00A4457B">
        <w:rPr>
          <w:rFonts w:ascii="Times New Roman" w:eastAsia="Calibri" w:hAnsi="Times New Roman" w:cs="Times New Roman"/>
          <w:sz w:val="24"/>
          <w:szCs w:val="24"/>
        </w:rPr>
        <w:t>ījumi – budžeta izdevumi</w:t>
      </w:r>
      <w:r w:rsidR="009723B5">
        <w:rPr>
          <w:rFonts w:ascii="Times New Roman" w:eastAsia="Calibri" w:hAnsi="Times New Roman" w:cs="Times New Roman"/>
          <w:sz w:val="24"/>
          <w:szCs w:val="24"/>
        </w:rPr>
        <w:t xml:space="preserve"> jāplāno</w:t>
      </w:r>
      <w:r w:rsidR="00A4457B">
        <w:rPr>
          <w:rFonts w:ascii="Times New Roman" w:eastAsia="Calibri" w:hAnsi="Times New Roman" w:cs="Times New Roman"/>
          <w:sz w:val="24"/>
          <w:szCs w:val="24"/>
        </w:rPr>
        <w:t xml:space="preserve"> kā 2015</w:t>
      </w:r>
      <w:r w:rsidR="008807ED" w:rsidRPr="00E51FB8">
        <w:rPr>
          <w:rFonts w:ascii="Times New Roman" w:eastAsia="Calibri" w:hAnsi="Times New Roman" w:cs="Times New Roman"/>
          <w:sz w:val="24"/>
          <w:szCs w:val="24"/>
        </w:rPr>
        <w:t>. gada sākotnējais plāns</w:t>
      </w:r>
      <w:r w:rsidR="00A4457B">
        <w:rPr>
          <w:rFonts w:ascii="Times New Roman" w:eastAsia="Calibri" w:hAnsi="Times New Roman" w:cs="Times New Roman"/>
          <w:sz w:val="24"/>
          <w:szCs w:val="24"/>
        </w:rPr>
        <w:t>.</w:t>
      </w:r>
      <w:r w:rsidR="00AB0943">
        <w:rPr>
          <w:rFonts w:ascii="Times New Roman" w:eastAsia="Calibri" w:hAnsi="Times New Roman" w:cs="Times New Roman"/>
          <w:sz w:val="24"/>
          <w:szCs w:val="24"/>
        </w:rPr>
        <w:t xml:space="preserve"> Budžeta sagatavošanas laikā kā prioritāte tika noteikta Kandavas mūzikas skolas pārvietošana uz Mākslas skolas telpām Kandavā Sabiles ielā 12 un mūzikas skolas pārbūve, lai telpas piemērotu Kandavas pilsētas bibliotēkas vajadzībām. Minētā iemesla dēļ tika samazināti sākotnēji plānotie uzturēšanas izdevumu asignējumi Kultūras pārvaldei par 30 000 </w:t>
      </w:r>
      <w:proofErr w:type="spellStart"/>
      <w:r w:rsidR="00AB0943" w:rsidRPr="00E51FB8">
        <w:rPr>
          <w:rFonts w:ascii="Times New Roman" w:eastAsia="Calibri" w:hAnsi="Times New Roman" w:cs="Times New Roman"/>
          <w:i/>
          <w:sz w:val="24"/>
          <w:szCs w:val="24"/>
        </w:rPr>
        <w:t>euro</w:t>
      </w:r>
      <w:proofErr w:type="spellEnd"/>
      <w:r w:rsidR="00AB0943">
        <w:rPr>
          <w:rFonts w:ascii="Times New Roman" w:eastAsia="Calibri" w:hAnsi="Times New Roman" w:cs="Times New Roman"/>
          <w:i/>
          <w:sz w:val="24"/>
          <w:szCs w:val="24"/>
        </w:rPr>
        <w:t xml:space="preserve">, </w:t>
      </w:r>
      <w:r w:rsidR="00AB0943">
        <w:rPr>
          <w:rFonts w:ascii="Times New Roman" w:eastAsia="Calibri" w:hAnsi="Times New Roman" w:cs="Times New Roman"/>
          <w:sz w:val="24"/>
          <w:szCs w:val="24"/>
        </w:rPr>
        <w:t xml:space="preserve">Kandavas Sociālās palīdzības dienestam par 35 000 </w:t>
      </w:r>
      <w:proofErr w:type="spellStart"/>
      <w:r w:rsidR="00AB0943" w:rsidRPr="00E51FB8">
        <w:rPr>
          <w:rFonts w:ascii="Times New Roman" w:eastAsia="Calibri" w:hAnsi="Times New Roman" w:cs="Times New Roman"/>
          <w:i/>
          <w:sz w:val="24"/>
          <w:szCs w:val="24"/>
        </w:rPr>
        <w:t>euro</w:t>
      </w:r>
      <w:proofErr w:type="spellEnd"/>
      <w:r w:rsidR="00AB0943">
        <w:rPr>
          <w:rFonts w:ascii="Times New Roman" w:eastAsia="Calibri" w:hAnsi="Times New Roman" w:cs="Times New Roman"/>
          <w:i/>
          <w:sz w:val="24"/>
          <w:szCs w:val="24"/>
        </w:rPr>
        <w:t xml:space="preserve"> </w:t>
      </w:r>
      <w:r w:rsidR="00AB0943">
        <w:rPr>
          <w:rFonts w:ascii="Times New Roman" w:eastAsia="Calibri" w:hAnsi="Times New Roman" w:cs="Times New Roman"/>
          <w:sz w:val="24"/>
          <w:szCs w:val="24"/>
        </w:rPr>
        <w:t xml:space="preserve">un Zantes ģimeņu krīzes centram par 2500 </w:t>
      </w:r>
      <w:proofErr w:type="spellStart"/>
      <w:r w:rsidR="00AB0943" w:rsidRPr="00E51FB8">
        <w:rPr>
          <w:rFonts w:ascii="Times New Roman" w:eastAsia="Calibri" w:hAnsi="Times New Roman" w:cs="Times New Roman"/>
          <w:i/>
          <w:sz w:val="24"/>
          <w:szCs w:val="24"/>
        </w:rPr>
        <w:t>euro</w:t>
      </w:r>
      <w:proofErr w:type="spellEnd"/>
      <w:r w:rsidR="00AB0943">
        <w:rPr>
          <w:rFonts w:ascii="Times New Roman" w:eastAsia="Calibri" w:hAnsi="Times New Roman" w:cs="Times New Roman"/>
          <w:i/>
          <w:sz w:val="24"/>
          <w:szCs w:val="24"/>
        </w:rPr>
        <w:t>.</w:t>
      </w:r>
      <w:r w:rsidR="00AB0943">
        <w:rPr>
          <w:rFonts w:ascii="Times New Roman" w:eastAsia="Calibri" w:hAnsi="Times New Roman" w:cs="Times New Roman"/>
          <w:sz w:val="24"/>
          <w:szCs w:val="24"/>
        </w:rPr>
        <w:t xml:space="preserve">  </w:t>
      </w:r>
    </w:p>
    <w:p w:rsidR="00570B5A" w:rsidRDefault="008807ED" w:rsidP="00570B5A">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w:t>
      </w:r>
    </w:p>
    <w:p w:rsidR="008807ED" w:rsidRPr="006346F0" w:rsidRDefault="008807ED" w:rsidP="006B3269">
      <w:pPr>
        <w:spacing w:after="0" w:line="240" w:lineRule="auto"/>
        <w:jc w:val="both"/>
        <w:rPr>
          <w:rFonts w:ascii="Times New Roman" w:eastAsia="Calibri" w:hAnsi="Times New Roman" w:cs="Times New Roman"/>
          <w:sz w:val="24"/>
          <w:szCs w:val="24"/>
        </w:rPr>
      </w:pPr>
      <w:r w:rsidRPr="006346F0">
        <w:rPr>
          <w:rFonts w:ascii="Times New Roman" w:eastAsia="Calibri" w:hAnsi="Times New Roman" w:cs="Times New Roman"/>
          <w:sz w:val="24"/>
          <w:szCs w:val="24"/>
        </w:rPr>
        <w:t>Pamatbudžeta izdevumu struktūra attēlā Nr.2</w:t>
      </w:r>
    </w:p>
    <w:p w:rsidR="008807ED" w:rsidRPr="00E51FB8" w:rsidRDefault="008807ED" w:rsidP="008807ED">
      <w:pPr>
        <w:spacing w:after="0" w:line="240" w:lineRule="auto"/>
        <w:jc w:val="both"/>
        <w:rPr>
          <w:rFonts w:ascii="Times New Roman" w:eastAsia="Calibri" w:hAnsi="Times New Roman" w:cs="Times New Roman"/>
          <w:sz w:val="24"/>
          <w:szCs w:val="24"/>
        </w:rPr>
      </w:pPr>
      <w:r w:rsidRPr="006346F0">
        <w:rPr>
          <w:rFonts w:ascii="Times New Roman" w:eastAsia="Calibri" w:hAnsi="Times New Roman" w:cs="Times New Roman"/>
          <w:sz w:val="24"/>
          <w:szCs w:val="24"/>
        </w:rPr>
        <w:t xml:space="preserve">Kopējie izdevumi </w:t>
      </w:r>
      <w:r w:rsidR="00570B5A" w:rsidRPr="006346F0">
        <w:rPr>
          <w:rFonts w:ascii="Times New Roman" w:eastAsia="Calibri" w:hAnsi="Times New Roman" w:cs="Times New Roman"/>
          <w:sz w:val="24"/>
          <w:szCs w:val="24"/>
        </w:rPr>
        <w:t>8 902 016</w:t>
      </w:r>
      <w:r w:rsidRPr="006346F0">
        <w:rPr>
          <w:rFonts w:ascii="Times New Roman" w:eastAsia="Calibri" w:hAnsi="Times New Roman" w:cs="Times New Roman"/>
          <w:sz w:val="24"/>
          <w:szCs w:val="24"/>
        </w:rPr>
        <w:t xml:space="preserve"> </w:t>
      </w:r>
      <w:proofErr w:type="spellStart"/>
      <w:r w:rsidRPr="006346F0">
        <w:rPr>
          <w:rFonts w:ascii="Times New Roman" w:eastAsia="Calibri" w:hAnsi="Times New Roman" w:cs="Times New Roman"/>
          <w:i/>
          <w:sz w:val="24"/>
          <w:szCs w:val="24"/>
        </w:rPr>
        <w:t>euro</w:t>
      </w:r>
      <w:proofErr w:type="spellEnd"/>
      <w:r w:rsidR="00570B5A" w:rsidRPr="006346F0">
        <w:rPr>
          <w:rFonts w:ascii="Times New Roman" w:eastAsia="Calibri" w:hAnsi="Times New Roman" w:cs="Times New Roman"/>
          <w:i/>
          <w:sz w:val="24"/>
          <w:szCs w:val="24"/>
        </w:rPr>
        <w:t>.</w:t>
      </w:r>
    </w:p>
    <w:p w:rsidR="008807ED" w:rsidRPr="00E51FB8" w:rsidRDefault="008807ED" w:rsidP="008807E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3F6B0815" wp14:editId="0821EF90">
            <wp:extent cx="6052782" cy="4463387"/>
            <wp:effectExtent l="0" t="0" r="4381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B3269" w:rsidRDefault="006B3269" w:rsidP="008807ED">
      <w:pPr>
        <w:spacing w:after="0" w:line="240" w:lineRule="auto"/>
        <w:ind w:firstLine="720"/>
        <w:jc w:val="both"/>
        <w:rPr>
          <w:rFonts w:ascii="Times New Roman" w:eastAsia="Calibri" w:hAnsi="Times New Roman" w:cs="Times New Roman"/>
          <w:sz w:val="24"/>
          <w:szCs w:val="24"/>
        </w:rPr>
      </w:pPr>
    </w:p>
    <w:p w:rsidR="003A2C05" w:rsidRDefault="007C3D61" w:rsidP="00BC300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807ED" w:rsidRPr="00E51FB8">
        <w:rPr>
          <w:rFonts w:ascii="Times New Roman" w:eastAsia="Calibri" w:hAnsi="Times New Roman" w:cs="Times New Roman"/>
          <w:sz w:val="24"/>
          <w:szCs w:val="24"/>
        </w:rPr>
        <w:t>.1. Pārvaldes izdevumi. Saskaņā ar LR likumu „Par p</w:t>
      </w:r>
      <w:r>
        <w:rPr>
          <w:rFonts w:ascii="Times New Roman" w:eastAsia="Calibri" w:hAnsi="Times New Roman" w:cs="Times New Roman"/>
          <w:sz w:val="24"/>
          <w:szCs w:val="24"/>
        </w:rPr>
        <w:t>ašvaldībām” un atbilstoši Kandavas</w:t>
      </w:r>
      <w:r w:rsidR="008807ED" w:rsidRPr="00E51FB8">
        <w:rPr>
          <w:rFonts w:ascii="Times New Roman" w:eastAsia="Calibri" w:hAnsi="Times New Roman" w:cs="Times New Roman"/>
          <w:sz w:val="24"/>
          <w:szCs w:val="24"/>
        </w:rPr>
        <w:t xml:space="preserve"> novada Domes nolikumam, pašvaldības iedzīvotāju pārstāvību nodrošina pašvaldības lēmējorgāns – dome, ko veido ievēlēti deputāti, savukārt domes pieņemto lēmumu izpildi, kā arī tās darba organizatorisko un tehnisko apkalpošanu nodrošina pašvaldības administrācija. </w:t>
      </w:r>
      <w:r w:rsidR="008807ED" w:rsidRPr="00BC300B">
        <w:rPr>
          <w:rFonts w:ascii="Times New Roman" w:eastAsia="Calibri" w:hAnsi="Times New Roman" w:cs="Times New Roman"/>
          <w:sz w:val="24"/>
          <w:szCs w:val="24"/>
        </w:rPr>
        <w:t>Kopējie izdevumi 201</w:t>
      </w:r>
      <w:r w:rsidRPr="00BC300B">
        <w:rPr>
          <w:rFonts w:ascii="Times New Roman" w:eastAsia="Calibri" w:hAnsi="Times New Roman" w:cs="Times New Roman"/>
          <w:sz w:val="24"/>
          <w:szCs w:val="24"/>
        </w:rPr>
        <w:t>6</w:t>
      </w:r>
      <w:r w:rsidR="008807ED" w:rsidRPr="00BC300B">
        <w:rPr>
          <w:rFonts w:ascii="Times New Roman" w:eastAsia="Calibri" w:hAnsi="Times New Roman" w:cs="Times New Roman"/>
          <w:sz w:val="24"/>
          <w:szCs w:val="24"/>
        </w:rPr>
        <w:t xml:space="preserve">. gadā ir </w:t>
      </w:r>
      <w:r w:rsidR="00BC300B" w:rsidRPr="00BC300B">
        <w:rPr>
          <w:rFonts w:ascii="Times New Roman" w:eastAsia="Calibri" w:hAnsi="Times New Roman" w:cs="Times New Roman"/>
          <w:sz w:val="24"/>
          <w:szCs w:val="24"/>
        </w:rPr>
        <w:t xml:space="preserve">620 290 </w:t>
      </w:r>
      <w:proofErr w:type="spellStart"/>
      <w:r w:rsidR="00BC300B" w:rsidRPr="00BC300B">
        <w:rPr>
          <w:rFonts w:ascii="Times New Roman" w:eastAsia="Calibri" w:hAnsi="Times New Roman" w:cs="Times New Roman"/>
          <w:i/>
          <w:sz w:val="24"/>
          <w:szCs w:val="24"/>
        </w:rPr>
        <w:t>euro</w:t>
      </w:r>
      <w:proofErr w:type="spellEnd"/>
      <w:r w:rsidR="008807ED" w:rsidRPr="00BC300B">
        <w:rPr>
          <w:rFonts w:ascii="Times New Roman" w:eastAsia="Calibri" w:hAnsi="Times New Roman" w:cs="Times New Roman"/>
          <w:sz w:val="24"/>
          <w:szCs w:val="24"/>
        </w:rPr>
        <w:t xml:space="preserve">, kas ir par </w:t>
      </w:r>
      <w:r w:rsidR="00BC300B" w:rsidRPr="00BC300B">
        <w:rPr>
          <w:rFonts w:ascii="Times New Roman" w:eastAsia="Calibri" w:hAnsi="Times New Roman" w:cs="Times New Roman"/>
          <w:sz w:val="24"/>
          <w:szCs w:val="24"/>
        </w:rPr>
        <w:t>3,6% mazāki</w:t>
      </w:r>
      <w:r w:rsidR="008807ED" w:rsidRPr="00BC300B">
        <w:rPr>
          <w:rFonts w:ascii="Times New Roman" w:eastAsia="Calibri" w:hAnsi="Times New Roman" w:cs="Times New Roman"/>
          <w:sz w:val="24"/>
          <w:szCs w:val="24"/>
        </w:rPr>
        <w:t xml:space="preserve"> nekā 201</w:t>
      </w:r>
      <w:r w:rsidRPr="00BC300B">
        <w:rPr>
          <w:rFonts w:ascii="Times New Roman" w:eastAsia="Calibri" w:hAnsi="Times New Roman" w:cs="Times New Roman"/>
          <w:sz w:val="24"/>
          <w:szCs w:val="24"/>
        </w:rPr>
        <w:t>5</w:t>
      </w:r>
      <w:r w:rsidR="008807ED" w:rsidRPr="00BC300B">
        <w:rPr>
          <w:rFonts w:ascii="Times New Roman" w:eastAsia="Calibri" w:hAnsi="Times New Roman" w:cs="Times New Roman"/>
          <w:sz w:val="24"/>
          <w:szCs w:val="24"/>
        </w:rPr>
        <w:t>. gadā (</w:t>
      </w:r>
      <w:r w:rsidR="00BC300B" w:rsidRPr="00BC300B">
        <w:rPr>
          <w:rFonts w:ascii="Times New Roman" w:eastAsia="Calibri" w:hAnsi="Times New Roman" w:cs="Times New Roman"/>
          <w:sz w:val="24"/>
          <w:szCs w:val="24"/>
        </w:rPr>
        <w:t>643 547</w:t>
      </w:r>
      <w:r w:rsidR="008807ED" w:rsidRPr="00BC300B">
        <w:rPr>
          <w:rFonts w:ascii="Times New Roman" w:eastAsia="Calibri" w:hAnsi="Times New Roman" w:cs="Times New Roman"/>
          <w:sz w:val="24"/>
          <w:szCs w:val="24"/>
        </w:rPr>
        <w:t xml:space="preserve"> </w:t>
      </w:r>
      <w:proofErr w:type="spellStart"/>
      <w:r w:rsidR="008807ED" w:rsidRPr="00BC300B">
        <w:rPr>
          <w:rFonts w:ascii="Times New Roman" w:eastAsia="Calibri" w:hAnsi="Times New Roman" w:cs="Times New Roman"/>
          <w:i/>
          <w:sz w:val="24"/>
          <w:szCs w:val="24"/>
        </w:rPr>
        <w:t>euro</w:t>
      </w:r>
      <w:proofErr w:type="spellEnd"/>
      <w:r w:rsidR="00BC300B" w:rsidRPr="00BC300B">
        <w:rPr>
          <w:rFonts w:ascii="Times New Roman" w:eastAsia="Calibri" w:hAnsi="Times New Roman" w:cs="Times New Roman"/>
          <w:sz w:val="24"/>
          <w:szCs w:val="24"/>
        </w:rPr>
        <w:t>), tai skaitā</w:t>
      </w:r>
      <w:r w:rsidR="00BC300B">
        <w:rPr>
          <w:rFonts w:ascii="Times New Roman" w:eastAsia="Calibri" w:hAnsi="Times New Roman" w:cs="Times New Roman"/>
          <w:sz w:val="24"/>
          <w:szCs w:val="24"/>
        </w:rPr>
        <w:t xml:space="preserve"> p</w:t>
      </w:r>
      <w:r w:rsidR="008807ED" w:rsidRPr="00E51FB8">
        <w:rPr>
          <w:rFonts w:ascii="Times New Roman" w:eastAsia="Calibri" w:hAnsi="Times New Roman" w:cs="Times New Roman"/>
          <w:sz w:val="24"/>
          <w:szCs w:val="24"/>
        </w:rPr>
        <w:t xml:space="preserve">arāda maksājumi (kredītu apkalpošana un procentu izdevumi) ir plānoti </w:t>
      </w:r>
      <w:r w:rsidR="009073C7">
        <w:rPr>
          <w:rFonts w:ascii="Times New Roman" w:eastAsia="Calibri" w:hAnsi="Times New Roman" w:cs="Times New Roman"/>
          <w:sz w:val="24"/>
          <w:szCs w:val="24"/>
        </w:rPr>
        <w:t>66 500</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kas ir par </w:t>
      </w:r>
      <w:r w:rsidR="009073C7">
        <w:rPr>
          <w:rFonts w:ascii="Times New Roman" w:eastAsia="Calibri" w:hAnsi="Times New Roman" w:cs="Times New Roman"/>
          <w:sz w:val="24"/>
          <w:szCs w:val="24"/>
        </w:rPr>
        <w:t>36 658</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mazāk salīdzinājumā ar 201</w:t>
      </w:r>
      <w:r w:rsidR="009073C7">
        <w:rPr>
          <w:rFonts w:ascii="Times New Roman" w:eastAsia="Calibri" w:hAnsi="Times New Roman" w:cs="Times New Roman"/>
          <w:sz w:val="24"/>
          <w:szCs w:val="24"/>
        </w:rPr>
        <w:t>5</w:t>
      </w:r>
      <w:r w:rsidR="008807ED" w:rsidRPr="00E51FB8">
        <w:rPr>
          <w:rFonts w:ascii="Times New Roman" w:eastAsia="Calibri" w:hAnsi="Times New Roman" w:cs="Times New Roman"/>
          <w:sz w:val="24"/>
          <w:szCs w:val="24"/>
        </w:rPr>
        <w:t>.gadu, jo ir samazinājušās procentu likmes</w:t>
      </w:r>
      <w:r w:rsidR="003A2C05">
        <w:rPr>
          <w:rFonts w:ascii="Times New Roman" w:eastAsia="Calibri" w:hAnsi="Times New Roman" w:cs="Times New Roman"/>
          <w:sz w:val="24"/>
          <w:szCs w:val="24"/>
        </w:rPr>
        <w:t>.</w:t>
      </w:r>
      <w:r w:rsidR="008807ED" w:rsidRPr="00E51FB8">
        <w:rPr>
          <w:rFonts w:ascii="Times New Roman" w:eastAsia="Calibri" w:hAnsi="Times New Roman" w:cs="Times New Roman"/>
          <w:sz w:val="24"/>
          <w:szCs w:val="24"/>
        </w:rPr>
        <w:t xml:space="preserve"> </w:t>
      </w:r>
    </w:p>
    <w:p w:rsidR="008807ED"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2</w:t>
      </w:r>
      <w:r w:rsidRPr="00E51FB8">
        <w:rPr>
          <w:rFonts w:ascii="Times New Roman" w:eastAsia="Calibri" w:hAnsi="Times New Roman" w:cs="Times New Roman"/>
          <w:sz w:val="24"/>
          <w:szCs w:val="24"/>
        </w:rPr>
        <w:t xml:space="preserve">. Sabiedriskā kārtība un drošība. Atbilstoši iedalījumam funkcionālajās kategorijās šos izdevumus veido pašvaldības policijas uzturēšana, </w:t>
      </w:r>
      <w:r w:rsidR="009073C7">
        <w:rPr>
          <w:rFonts w:ascii="Times New Roman" w:eastAsia="Calibri" w:hAnsi="Times New Roman" w:cs="Times New Roman"/>
          <w:sz w:val="24"/>
          <w:szCs w:val="24"/>
        </w:rPr>
        <w:t xml:space="preserve">ugunsdrošības dienestu un bāriņtiesas </w:t>
      </w:r>
      <w:r w:rsidRPr="00E51FB8">
        <w:rPr>
          <w:rFonts w:ascii="Times New Roman" w:eastAsia="Calibri" w:hAnsi="Times New Roman" w:cs="Times New Roman"/>
          <w:sz w:val="24"/>
          <w:szCs w:val="24"/>
        </w:rPr>
        <w:t>uzturēšana. Salīdzinājumā ar 201</w:t>
      </w:r>
      <w:r w:rsidR="009073C7">
        <w:rPr>
          <w:rFonts w:ascii="Times New Roman" w:eastAsia="Calibri" w:hAnsi="Times New Roman" w:cs="Times New Roman"/>
          <w:sz w:val="24"/>
          <w:szCs w:val="24"/>
        </w:rPr>
        <w:t>5</w:t>
      </w:r>
      <w:r w:rsidRPr="00E51FB8">
        <w:rPr>
          <w:rFonts w:ascii="Times New Roman" w:eastAsia="Calibri" w:hAnsi="Times New Roman" w:cs="Times New Roman"/>
          <w:sz w:val="24"/>
          <w:szCs w:val="24"/>
        </w:rPr>
        <w:t xml:space="preserve">.gadu izdevumi ir </w:t>
      </w:r>
      <w:r w:rsidR="009073C7">
        <w:rPr>
          <w:rFonts w:ascii="Times New Roman" w:eastAsia="Calibri" w:hAnsi="Times New Roman" w:cs="Times New Roman"/>
          <w:sz w:val="24"/>
          <w:szCs w:val="24"/>
        </w:rPr>
        <w:t>samazinājušies par 18,6</w:t>
      </w:r>
      <w:r w:rsidRPr="00E51FB8">
        <w:rPr>
          <w:rFonts w:ascii="Times New Roman" w:eastAsia="Calibri" w:hAnsi="Times New Roman" w:cs="Times New Roman"/>
          <w:sz w:val="24"/>
          <w:szCs w:val="24"/>
        </w:rPr>
        <w:t>% (</w:t>
      </w:r>
      <w:r w:rsidR="009073C7">
        <w:rPr>
          <w:rFonts w:ascii="Times New Roman" w:eastAsia="Calibri" w:hAnsi="Times New Roman" w:cs="Times New Roman"/>
          <w:sz w:val="24"/>
          <w:szCs w:val="24"/>
        </w:rPr>
        <w:t>35 187</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004E49C6">
        <w:rPr>
          <w:rFonts w:ascii="Times New Roman" w:eastAsia="Calibri" w:hAnsi="Times New Roman" w:cs="Times New Roman"/>
          <w:sz w:val="24"/>
          <w:szCs w:val="24"/>
        </w:rPr>
        <w:t xml:space="preserve">), jo 2015.gadā </w:t>
      </w:r>
      <w:r w:rsidRPr="00E51FB8">
        <w:rPr>
          <w:rFonts w:ascii="Times New Roman" w:eastAsia="Calibri" w:hAnsi="Times New Roman" w:cs="Times New Roman"/>
          <w:sz w:val="24"/>
          <w:szCs w:val="24"/>
        </w:rPr>
        <w:t>Pašvaldības policij</w:t>
      </w:r>
      <w:r w:rsidR="004E49C6">
        <w:rPr>
          <w:rFonts w:ascii="Times New Roman" w:eastAsia="Calibri" w:hAnsi="Times New Roman" w:cs="Times New Roman"/>
          <w:sz w:val="24"/>
          <w:szCs w:val="24"/>
        </w:rPr>
        <w:t xml:space="preserve">a kā pašvaldības struktūrvienība bija pirmo gadu un darbiniekiem algas bija plānotas, pamatojoties uz iepriekšējo informāciju - salīdzinoši daudz. 2015.gadā policijas vajadzībām tika nomāta </w:t>
      </w:r>
      <w:r w:rsidRPr="00E51FB8">
        <w:rPr>
          <w:rFonts w:ascii="Times New Roman" w:eastAsia="Calibri" w:hAnsi="Times New Roman" w:cs="Times New Roman"/>
          <w:sz w:val="24"/>
          <w:szCs w:val="24"/>
        </w:rPr>
        <w:t xml:space="preserve"> </w:t>
      </w:r>
      <w:r w:rsidR="004E49C6">
        <w:rPr>
          <w:rFonts w:ascii="Times New Roman" w:eastAsia="Calibri" w:hAnsi="Times New Roman" w:cs="Times New Roman"/>
          <w:sz w:val="24"/>
          <w:szCs w:val="24"/>
        </w:rPr>
        <w:t xml:space="preserve">viena automašīna, kura gada beigās tika nopirkta. Kopējais samazinājums atlīdzībai un automašīnas nomai 27659 </w:t>
      </w:r>
      <w:proofErr w:type="spellStart"/>
      <w:r w:rsidR="004E49C6" w:rsidRPr="00E51FB8">
        <w:rPr>
          <w:rFonts w:ascii="Times New Roman" w:eastAsia="Calibri" w:hAnsi="Times New Roman" w:cs="Times New Roman"/>
          <w:i/>
          <w:sz w:val="24"/>
          <w:szCs w:val="24"/>
        </w:rPr>
        <w:t>euro</w:t>
      </w:r>
      <w:proofErr w:type="spellEnd"/>
      <w:r w:rsidR="004E49C6">
        <w:rPr>
          <w:rFonts w:ascii="Times New Roman" w:eastAsia="Calibri" w:hAnsi="Times New Roman" w:cs="Times New Roman"/>
          <w:i/>
          <w:sz w:val="24"/>
          <w:szCs w:val="24"/>
        </w:rPr>
        <w:t>.</w:t>
      </w:r>
      <w:r w:rsidR="004E49C6">
        <w:rPr>
          <w:rFonts w:ascii="Times New Roman" w:eastAsia="Calibri" w:hAnsi="Times New Roman" w:cs="Times New Roman"/>
          <w:sz w:val="24"/>
          <w:szCs w:val="24"/>
        </w:rPr>
        <w:t xml:space="preserve"> </w:t>
      </w:r>
    </w:p>
    <w:p w:rsidR="004E49C6" w:rsidRPr="00E51FB8" w:rsidRDefault="004E49C6" w:rsidP="004E49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01FD0">
        <w:rPr>
          <w:rFonts w:ascii="Times New Roman" w:eastAsia="Calibri" w:hAnsi="Times New Roman" w:cs="Times New Roman"/>
          <w:sz w:val="24"/>
          <w:szCs w:val="24"/>
        </w:rPr>
        <w:t xml:space="preserve">Izdevumi bāriņtiesas uzturēšanai plānoti par 4625 </w:t>
      </w:r>
      <w:proofErr w:type="spellStart"/>
      <w:r w:rsidR="00101FD0" w:rsidRPr="00E51FB8">
        <w:rPr>
          <w:rFonts w:ascii="Times New Roman" w:eastAsia="Calibri" w:hAnsi="Times New Roman" w:cs="Times New Roman"/>
          <w:i/>
          <w:sz w:val="24"/>
          <w:szCs w:val="24"/>
        </w:rPr>
        <w:t>euro</w:t>
      </w:r>
      <w:proofErr w:type="spellEnd"/>
      <w:r w:rsidR="00101FD0">
        <w:rPr>
          <w:rFonts w:ascii="Times New Roman" w:eastAsia="Calibri" w:hAnsi="Times New Roman" w:cs="Times New Roman"/>
          <w:i/>
          <w:sz w:val="24"/>
          <w:szCs w:val="24"/>
        </w:rPr>
        <w:t xml:space="preserve"> </w:t>
      </w:r>
      <w:r w:rsidR="00101FD0">
        <w:rPr>
          <w:rFonts w:ascii="Times New Roman" w:eastAsia="Calibri" w:hAnsi="Times New Roman" w:cs="Times New Roman"/>
          <w:sz w:val="24"/>
          <w:szCs w:val="24"/>
        </w:rPr>
        <w:t>mazāk</w:t>
      </w:r>
      <w:r w:rsidR="00101FD0" w:rsidRPr="00101FD0">
        <w:rPr>
          <w:rFonts w:ascii="Times New Roman" w:eastAsia="Calibri" w:hAnsi="Times New Roman" w:cs="Times New Roman"/>
          <w:sz w:val="24"/>
          <w:szCs w:val="24"/>
        </w:rPr>
        <w:t>.</w:t>
      </w:r>
    </w:p>
    <w:p w:rsidR="008807ED" w:rsidRPr="00E51FB8" w:rsidRDefault="006F1DC5" w:rsidP="006103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07ED"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3</w:t>
      </w:r>
      <w:r w:rsidR="008807ED" w:rsidRPr="00E51FB8">
        <w:rPr>
          <w:rFonts w:ascii="Times New Roman" w:eastAsia="Calibri" w:hAnsi="Times New Roman" w:cs="Times New Roman"/>
          <w:sz w:val="24"/>
          <w:szCs w:val="24"/>
        </w:rPr>
        <w:t>. Ekonomiskā darbība. Šīs sadaļas izdevumus veido tūrisma attīstībai novadā</w:t>
      </w:r>
      <w:r w:rsidR="00610321">
        <w:rPr>
          <w:rFonts w:ascii="Times New Roman" w:eastAsia="Calibri" w:hAnsi="Times New Roman" w:cs="Times New Roman"/>
          <w:sz w:val="24"/>
          <w:szCs w:val="24"/>
        </w:rPr>
        <w:t>,</w:t>
      </w:r>
      <w:r w:rsidR="008807ED" w:rsidRPr="00E51FB8">
        <w:rPr>
          <w:rFonts w:ascii="Times New Roman" w:eastAsia="Calibri" w:hAnsi="Times New Roman" w:cs="Times New Roman"/>
          <w:sz w:val="24"/>
          <w:szCs w:val="24"/>
        </w:rPr>
        <w:t xml:space="preserve"> pilsētas un novada infrastruktūras sakārtošanai (i</w:t>
      </w:r>
      <w:r w:rsidR="00610321">
        <w:rPr>
          <w:rFonts w:ascii="Times New Roman" w:eastAsia="Calibri" w:hAnsi="Times New Roman" w:cs="Times New Roman"/>
          <w:sz w:val="24"/>
          <w:szCs w:val="24"/>
        </w:rPr>
        <w:t>elas, ceļi, tilti, veloceliņi) p</w:t>
      </w:r>
      <w:r w:rsidR="008807ED" w:rsidRPr="00E51FB8">
        <w:rPr>
          <w:rFonts w:ascii="Times New Roman" w:eastAsia="Calibri" w:hAnsi="Times New Roman" w:cs="Times New Roman"/>
          <w:sz w:val="24"/>
          <w:szCs w:val="24"/>
        </w:rPr>
        <w:t>lānotie izdevumi</w:t>
      </w:r>
      <w:r w:rsidR="00610321">
        <w:rPr>
          <w:rFonts w:ascii="Times New Roman" w:eastAsia="Calibri" w:hAnsi="Times New Roman" w:cs="Times New Roman"/>
          <w:sz w:val="24"/>
          <w:szCs w:val="24"/>
        </w:rPr>
        <w:t>: 2016.gadā - 290 106</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Lielākie plānotie darbi </w:t>
      </w:r>
      <w:r w:rsidR="00473EA2">
        <w:rPr>
          <w:rFonts w:ascii="Times New Roman" w:eastAsia="Calibri" w:hAnsi="Times New Roman" w:cs="Times New Roman"/>
          <w:sz w:val="24"/>
          <w:szCs w:val="24"/>
        </w:rPr>
        <w:t>ir melnā seguma izbūve Sēravotu ielā Kandavā un asfaltbetona izbūve Kūrorta ielā Kandavā</w:t>
      </w:r>
      <w:r w:rsidR="008807ED" w:rsidRPr="00E51FB8">
        <w:rPr>
          <w:rFonts w:ascii="Times New Roman" w:eastAsia="Calibri" w:hAnsi="Times New Roman" w:cs="Times New Roman"/>
          <w:sz w:val="24"/>
          <w:szCs w:val="24"/>
        </w:rPr>
        <w:t xml:space="preserve">, </w:t>
      </w:r>
      <w:r w:rsidR="00473EA2">
        <w:rPr>
          <w:rFonts w:ascii="Times New Roman" w:eastAsia="Calibri" w:hAnsi="Times New Roman" w:cs="Times New Roman"/>
          <w:sz w:val="24"/>
          <w:szCs w:val="24"/>
        </w:rPr>
        <w:t xml:space="preserve">pilsētā un </w:t>
      </w:r>
      <w:r w:rsidR="008807ED" w:rsidRPr="00E51FB8">
        <w:rPr>
          <w:rFonts w:ascii="Times New Roman" w:eastAsia="Calibri" w:hAnsi="Times New Roman" w:cs="Times New Roman"/>
          <w:sz w:val="24"/>
          <w:szCs w:val="24"/>
        </w:rPr>
        <w:t xml:space="preserve">pagastos grantēto ceļu seguma atjaunošana </w:t>
      </w:r>
      <w:r w:rsidR="00473EA2">
        <w:rPr>
          <w:rFonts w:ascii="Times New Roman" w:eastAsia="Calibri" w:hAnsi="Times New Roman" w:cs="Times New Roman"/>
          <w:sz w:val="24"/>
          <w:szCs w:val="24"/>
        </w:rPr>
        <w:t xml:space="preserve">un uzturēšana </w:t>
      </w:r>
      <w:r w:rsidR="008807ED" w:rsidRPr="00E51FB8">
        <w:rPr>
          <w:rFonts w:ascii="Times New Roman" w:eastAsia="Calibri" w:hAnsi="Times New Roman" w:cs="Times New Roman"/>
          <w:sz w:val="24"/>
          <w:szCs w:val="24"/>
        </w:rPr>
        <w:t xml:space="preserve">u.c. </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4</w:t>
      </w:r>
      <w:r w:rsidRPr="00E51FB8">
        <w:rPr>
          <w:rFonts w:ascii="Times New Roman" w:eastAsia="Calibri" w:hAnsi="Times New Roman" w:cs="Times New Roman"/>
          <w:sz w:val="24"/>
          <w:szCs w:val="24"/>
        </w:rPr>
        <w:t xml:space="preserve">. Vides aizsardzība. Plānotie līdzekļi </w:t>
      </w:r>
      <w:r w:rsidR="00610321">
        <w:rPr>
          <w:rFonts w:ascii="Times New Roman" w:eastAsia="Calibri" w:hAnsi="Times New Roman" w:cs="Times New Roman"/>
          <w:sz w:val="24"/>
          <w:szCs w:val="24"/>
        </w:rPr>
        <w:t>293 550</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00610321">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Finansējums paredzēts – ielu, laukumu, parku un citu teritoriju tīrīšanai, atkritumu savākšanai, notekūdeņu apsaimniekošanai</w:t>
      </w:r>
      <w:r w:rsidR="00610321">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w:t>
      </w:r>
    </w:p>
    <w:p w:rsidR="006F1DC5" w:rsidRDefault="006F1DC5" w:rsidP="006F1DC5">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8807ED"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5</w:t>
      </w:r>
      <w:r w:rsidR="008807ED" w:rsidRPr="00E51FB8">
        <w:rPr>
          <w:rFonts w:ascii="Times New Roman" w:eastAsia="Calibri" w:hAnsi="Times New Roman" w:cs="Times New Roman"/>
          <w:sz w:val="24"/>
          <w:szCs w:val="24"/>
        </w:rPr>
        <w:t>. Pašvaldību teritoriju un mājokļu apsaimniekošanai plānoti līdzekļi</w:t>
      </w:r>
      <w:r w:rsidR="00BC300B">
        <w:rPr>
          <w:rFonts w:ascii="Times New Roman" w:eastAsia="Calibri" w:hAnsi="Times New Roman" w:cs="Times New Roman"/>
          <w:sz w:val="24"/>
          <w:szCs w:val="24"/>
        </w:rPr>
        <w:t xml:space="preserve"> 1264</w:t>
      </w:r>
      <w:r w:rsidR="00610321">
        <w:rPr>
          <w:rFonts w:ascii="Times New Roman" w:eastAsia="Calibri" w:hAnsi="Times New Roman" w:cs="Times New Roman"/>
          <w:sz w:val="24"/>
          <w:szCs w:val="24"/>
        </w:rPr>
        <w:t>472</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Šīs sadaļas izdevumi ir dzīvojamo un nedzīvojamo ēk</w:t>
      </w:r>
      <w:r w:rsidR="00610321">
        <w:rPr>
          <w:rFonts w:ascii="Times New Roman" w:eastAsia="Calibri" w:hAnsi="Times New Roman" w:cs="Times New Roman"/>
          <w:sz w:val="24"/>
          <w:szCs w:val="24"/>
        </w:rPr>
        <w:t>u apsaimniekošana un uzturēšana;</w:t>
      </w:r>
      <w:r w:rsidR="008807ED" w:rsidRPr="00E51FB8">
        <w:rPr>
          <w:rFonts w:ascii="Times New Roman" w:eastAsia="Calibri" w:hAnsi="Times New Roman" w:cs="Times New Roman"/>
          <w:sz w:val="24"/>
          <w:szCs w:val="24"/>
        </w:rPr>
        <w:t xml:space="preserve"> apgaismošanas izdevumi</w:t>
      </w:r>
      <w:r w:rsidR="00610321">
        <w:rPr>
          <w:rFonts w:ascii="Times New Roman" w:eastAsia="Calibri" w:hAnsi="Times New Roman" w:cs="Times New Roman"/>
          <w:sz w:val="24"/>
          <w:szCs w:val="24"/>
        </w:rPr>
        <w:t>;</w:t>
      </w:r>
      <w:r w:rsidR="008807ED" w:rsidRPr="00E51FB8">
        <w:rPr>
          <w:rFonts w:ascii="Times New Roman" w:eastAsia="Calibri" w:hAnsi="Times New Roman" w:cs="Times New Roman"/>
          <w:sz w:val="24"/>
          <w:szCs w:val="24"/>
        </w:rPr>
        <w:t xml:space="preserve"> teritorij</w:t>
      </w:r>
      <w:r>
        <w:rPr>
          <w:rFonts w:ascii="Times New Roman" w:eastAsia="Calibri" w:hAnsi="Times New Roman" w:cs="Times New Roman"/>
          <w:sz w:val="24"/>
          <w:szCs w:val="24"/>
        </w:rPr>
        <w:t>u</w:t>
      </w:r>
      <w:r w:rsidR="008807ED" w:rsidRPr="00E51FB8">
        <w:rPr>
          <w:rFonts w:ascii="Times New Roman" w:eastAsia="Calibri" w:hAnsi="Times New Roman" w:cs="Times New Roman"/>
          <w:sz w:val="24"/>
          <w:szCs w:val="24"/>
        </w:rPr>
        <w:t xml:space="preserve"> uzturēšanas izdevumi (stādījumi,  pilsētas un pagastu dekorēšana,</w:t>
      </w:r>
      <w:r>
        <w:rPr>
          <w:rFonts w:ascii="Times New Roman" w:eastAsia="Calibri" w:hAnsi="Times New Roman" w:cs="Times New Roman"/>
          <w:sz w:val="24"/>
          <w:szCs w:val="24"/>
        </w:rPr>
        <w:t xml:space="preserve"> kapsētu apsaimniekošana;</w:t>
      </w:r>
      <w:r w:rsidR="008807ED" w:rsidRPr="00E51FB8">
        <w:rPr>
          <w:rFonts w:ascii="Times New Roman" w:eastAsia="Calibri" w:hAnsi="Times New Roman" w:cs="Times New Roman"/>
          <w:sz w:val="24"/>
          <w:szCs w:val="24"/>
        </w:rPr>
        <w:t xml:space="preserve"> kāpņu, s</w:t>
      </w:r>
      <w:r>
        <w:rPr>
          <w:rFonts w:ascii="Times New Roman" w:eastAsia="Calibri" w:hAnsi="Times New Roman" w:cs="Times New Roman"/>
          <w:sz w:val="24"/>
          <w:szCs w:val="24"/>
        </w:rPr>
        <w:t>oliņu remonti utt.). Nozīmīgākie</w:t>
      </w:r>
      <w:r w:rsidR="008807ED" w:rsidRPr="00E51FB8">
        <w:rPr>
          <w:rFonts w:ascii="Times New Roman" w:eastAsia="Calibri" w:hAnsi="Times New Roman" w:cs="Times New Roman"/>
          <w:sz w:val="24"/>
          <w:szCs w:val="24"/>
        </w:rPr>
        <w:t xml:space="preserve"> projekt</w:t>
      </w:r>
      <w:r>
        <w:rPr>
          <w:rFonts w:ascii="Times New Roman" w:eastAsia="Calibri" w:hAnsi="Times New Roman" w:cs="Times New Roman"/>
          <w:sz w:val="24"/>
          <w:szCs w:val="24"/>
        </w:rPr>
        <w:t>i</w:t>
      </w:r>
      <w:r w:rsidR="008807ED" w:rsidRPr="00E51FB8">
        <w:rPr>
          <w:rFonts w:ascii="Times New Roman" w:eastAsia="Calibri" w:hAnsi="Times New Roman" w:cs="Times New Roman"/>
          <w:sz w:val="24"/>
          <w:szCs w:val="24"/>
        </w:rPr>
        <w:t xml:space="preserve"> ir </w:t>
      </w:r>
      <w:r w:rsidRPr="006F1DC5">
        <w:rPr>
          <w:rFonts w:ascii="Times New Roman" w:eastAsia="Calibri" w:hAnsi="Times New Roman" w:cs="Times New Roman"/>
          <w:sz w:val="24"/>
          <w:szCs w:val="24"/>
        </w:rPr>
        <w:t>ceļa Nr.14 Matkules pagasta koplietošanas meliorācijas sistēmas pārbūves/atjaunošanas projekta realizācija par 123</w:t>
      </w:r>
      <w:r>
        <w:rPr>
          <w:rFonts w:ascii="Times New Roman" w:eastAsia="Calibri" w:hAnsi="Times New Roman" w:cs="Times New Roman"/>
          <w:sz w:val="24"/>
          <w:szCs w:val="24"/>
        </w:rPr>
        <w:t> </w:t>
      </w:r>
      <w:r w:rsidRPr="006F1DC5">
        <w:rPr>
          <w:rFonts w:ascii="Times New Roman" w:eastAsia="Calibri" w:hAnsi="Times New Roman" w:cs="Times New Roman"/>
          <w:sz w:val="24"/>
          <w:szCs w:val="24"/>
        </w:rPr>
        <w:t>855</w:t>
      </w:r>
      <w:r>
        <w:rPr>
          <w:rFonts w:ascii="Times New Roman" w:eastAsia="Calibri" w:hAnsi="Times New Roman" w:cs="Times New Roman"/>
          <w:sz w:val="24"/>
          <w:szCs w:val="24"/>
        </w:rPr>
        <w:t xml:space="preserve"> </w:t>
      </w:r>
      <w:proofErr w:type="spellStart"/>
      <w:r w:rsidRPr="006F1DC5">
        <w:rPr>
          <w:rFonts w:ascii="Times New Roman" w:eastAsia="Calibri" w:hAnsi="Times New Roman" w:cs="Times New Roman"/>
          <w:i/>
          <w:sz w:val="24"/>
          <w:szCs w:val="24"/>
        </w:rPr>
        <w:t>euro</w:t>
      </w:r>
      <w:proofErr w:type="spellEnd"/>
      <w:r w:rsidRPr="006F1DC5">
        <w:rPr>
          <w:rFonts w:ascii="Times New Roman" w:eastAsia="Calibri" w:hAnsi="Times New Roman" w:cs="Times New Roman"/>
          <w:i/>
          <w:sz w:val="24"/>
          <w:szCs w:val="24"/>
        </w:rPr>
        <w:t xml:space="preserve"> </w:t>
      </w:r>
      <w:r w:rsidRPr="006F1DC5">
        <w:rPr>
          <w:rFonts w:ascii="Times New Roman" w:eastAsia="Calibri" w:hAnsi="Times New Roman" w:cs="Times New Roman"/>
          <w:sz w:val="24"/>
          <w:szCs w:val="24"/>
        </w:rPr>
        <w:t xml:space="preserve">un uzsākt projektus pasākumā “ Pamatpakalpojumi un ciematu atjaunošana lauku apvidos” par 250 000 </w:t>
      </w:r>
      <w:proofErr w:type="spellStart"/>
      <w:r w:rsidRPr="006F1DC5">
        <w:rPr>
          <w:rFonts w:ascii="Times New Roman" w:eastAsia="Calibri" w:hAnsi="Times New Roman" w:cs="Times New Roman"/>
          <w:i/>
          <w:sz w:val="24"/>
          <w:szCs w:val="24"/>
        </w:rPr>
        <w:t>euro</w:t>
      </w:r>
      <w:proofErr w:type="spellEnd"/>
      <w:r w:rsidRPr="006F1DC5">
        <w:rPr>
          <w:rFonts w:ascii="Times New Roman" w:eastAsia="Calibri" w:hAnsi="Times New Roman" w:cs="Times New Roman"/>
          <w:i/>
          <w:sz w:val="24"/>
          <w:szCs w:val="24"/>
        </w:rPr>
        <w:t>.</w:t>
      </w:r>
    </w:p>
    <w:p w:rsidR="006F1DC5"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6</w:t>
      </w:r>
      <w:r w:rsidRPr="00E51FB8">
        <w:rPr>
          <w:rFonts w:ascii="Times New Roman" w:eastAsia="Calibri" w:hAnsi="Times New Roman" w:cs="Times New Roman"/>
          <w:sz w:val="24"/>
          <w:szCs w:val="24"/>
        </w:rPr>
        <w:t xml:space="preserve">. Veselības aprūpes atbalstam ieplānoti </w:t>
      </w:r>
      <w:r w:rsidR="006F1DC5">
        <w:rPr>
          <w:rFonts w:ascii="Times New Roman" w:eastAsia="Calibri" w:hAnsi="Times New Roman" w:cs="Times New Roman"/>
          <w:sz w:val="24"/>
          <w:szCs w:val="24"/>
        </w:rPr>
        <w:t>15 000</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Izdevumi plānoti </w:t>
      </w:r>
      <w:r w:rsidR="006F1DC5">
        <w:rPr>
          <w:rFonts w:ascii="Times New Roman" w:eastAsia="Calibri" w:hAnsi="Times New Roman" w:cs="Times New Roman"/>
          <w:sz w:val="24"/>
          <w:szCs w:val="24"/>
        </w:rPr>
        <w:t>invalīdu pacēlāja ierīkošanai Kandavas poliklīnikā.</w:t>
      </w:r>
    </w:p>
    <w:p w:rsidR="008807ED" w:rsidRPr="00E51FB8" w:rsidRDefault="008807ED" w:rsidP="00571D38">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7</w:t>
      </w:r>
      <w:r w:rsidRPr="00E51FB8">
        <w:rPr>
          <w:rFonts w:ascii="Times New Roman" w:eastAsia="Calibri" w:hAnsi="Times New Roman" w:cs="Times New Roman"/>
          <w:sz w:val="24"/>
          <w:szCs w:val="24"/>
        </w:rPr>
        <w:t>. Atpūta, kultūra</w:t>
      </w:r>
      <w:r w:rsidR="006F1DC5">
        <w:rPr>
          <w:rFonts w:ascii="Times New Roman" w:eastAsia="Calibri" w:hAnsi="Times New Roman" w:cs="Times New Roman"/>
          <w:sz w:val="24"/>
          <w:szCs w:val="24"/>
        </w:rPr>
        <w:t>, sports</w:t>
      </w:r>
      <w:r w:rsidRPr="00E51FB8">
        <w:rPr>
          <w:rFonts w:ascii="Times New Roman" w:eastAsia="Calibri" w:hAnsi="Times New Roman" w:cs="Times New Roman"/>
          <w:sz w:val="24"/>
          <w:szCs w:val="24"/>
        </w:rPr>
        <w:t xml:space="preserve"> un atbalsts biedrībām un nodibināju</w:t>
      </w:r>
      <w:r w:rsidR="006F1DC5">
        <w:rPr>
          <w:rFonts w:ascii="Times New Roman" w:eastAsia="Calibri" w:hAnsi="Times New Roman" w:cs="Times New Roman"/>
          <w:sz w:val="24"/>
          <w:szCs w:val="24"/>
        </w:rPr>
        <w:t>miem. Plānoti līdzekļi 1 156 683</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r w:rsidR="00BC4870">
        <w:rPr>
          <w:rFonts w:ascii="Times New Roman" w:eastAsia="Calibri" w:hAnsi="Times New Roman" w:cs="Times New Roman"/>
          <w:sz w:val="24"/>
          <w:szCs w:val="24"/>
        </w:rPr>
        <w:t>Palielinājums</w:t>
      </w:r>
      <w:r w:rsidRPr="00E51FB8">
        <w:rPr>
          <w:rFonts w:ascii="Times New Roman" w:eastAsia="Calibri" w:hAnsi="Times New Roman" w:cs="Times New Roman"/>
          <w:sz w:val="24"/>
          <w:szCs w:val="24"/>
        </w:rPr>
        <w:t xml:space="preserve"> ir </w:t>
      </w:r>
      <w:r w:rsidR="00BC4870">
        <w:rPr>
          <w:rFonts w:ascii="Times New Roman" w:eastAsia="Calibri" w:hAnsi="Times New Roman" w:cs="Times New Roman"/>
          <w:sz w:val="24"/>
          <w:szCs w:val="24"/>
        </w:rPr>
        <w:t>35 057</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Atbalsts novada biedrībām</w:t>
      </w:r>
      <w:r w:rsidR="005F54F5">
        <w:rPr>
          <w:rFonts w:ascii="Times New Roman" w:eastAsia="Calibri" w:hAnsi="Times New Roman" w:cs="Times New Roman"/>
          <w:sz w:val="24"/>
          <w:szCs w:val="24"/>
        </w:rPr>
        <w:t xml:space="preserve"> un nodibinājumiem plānoti 83 146</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00571D38" w:rsidRPr="00571D38">
        <w:rPr>
          <w:rFonts w:ascii="Times New Roman" w:eastAsia="Calibri" w:hAnsi="Times New Roman" w:cs="Times New Roman"/>
          <w:sz w:val="24"/>
          <w:szCs w:val="24"/>
        </w:rPr>
        <w:t xml:space="preserve"> </w:t>
      </w:r>
      <w:r w:rsidR="00571D38">
        <w:rPr>
          <w:rFonts w:ascii="Times New Roman" w:eastAsia="Calibri" w:hAnsi="Times New Roman" w:cs="Times New Roman"/>
          <w:sz w:val="24"/>
          <w:szCs w:val="24"/>
        </w:rPr>
        <w:t>2016.gadā plānota mūzikas skolas pārbūve, lai telpas piemērotu Kandavas pilsētas bibliotēkas vajadz</w:t>
      </w:r>
      <w:r w:rsidR="00BC300B">
        <w:rPr>
          <w:rFonts w:ascii="Times New Roman" w:eastAsia="Calibri" w:hAnsi="Times New Roman" w:cs="Times New Roman"/>
          <w:sz w:val="24"/>
          <w:szCs w:val="24"/>
        </w:rPr>
        <w:t>ībām par aizņēmuma līdzekļiem (</w:t>
      </w:r>
      <w:r w:rsidR="00571D38">
        <w:rPr>
          <w:rFonts w:ascii="Times New Roman" w:eastAsia="Calibri" w:hAnsi="Times New Roman" w:cs="Times New Roman"/>
          <w:sz w:val="24"/>
          <w:szCs w:val="24"/>
        </w:rPr>
        <w:t xml:space="preserve">365 245 </w:t>
      </w:r>
      <w:proofErr w:type="spellStart"/>
      <w:r w:rsidR="00571D38" w:rsidRPr="006F1DC5">
        <w:rPr>
          <w:rFonts w:ascii="Times New Roman" w:eastAsia="Calibri" w:hAnsi="Times New Roman" w:cs="Times New Roman"/>
          <w:i/>
          <w:sz w:val="24"/>
          <w:szCs w:val="24"/>
        </w:rPr>
        <w:t>euro</w:t>
      </w:r>
      <w:proofErr w:type="spellEnd"/>
      <w:r w:rsidR="00571D38">
        <w:rPr>
          <w:rFonts w:ascii="Times New Roman" w:eastAsia="Calibri" w:hAnsi="Times New Roman" w:cs="Times New Roman"/>
          <w:sz w:val="24"/>
          <w:szCs w:val="24"/>
        </w:rPr>
        <w:t>)</w:t>
      </w:r>
      <w:r w:rsidR="00571D38">
        <w:rPr>
          <w:rFonts w:ascii="Times New Roman" w:eastAsia="Calibri" w:hAnsi="Times New Roman" w:cs="Times New Roman"/>
          <w:i/>
          <w:sz w:val="24"/>
          <w:szCs w:val="24"/>
        </w:rPr>
        <w:t xml:space="preserve"> .</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8</w:t>
      </w:r>
      <w:r w:rsidRPr="00E51FB8">
        <w:rPr>
          <w:rFonts w:ascii="Times New Roman" w:eastAsia="Calibri" w:hAnsi="Times New Roman" w:cs="Times New Roman"/>
          <w:sz w:val="24"/>
          <w:szCs w:val="24"/>
        </w:rPr>
        <w:t xml:space="preserve">. Izglītība. Proporcionāli vislielākais finansējums ir izglītībai </w:t>
      </w:r>
      <w:r w:rsidR="005F54F5">
        <w:rPr>
          <w:rFonts w:ascii="Times New Roman" w:eastAsia="Calibri" w:hAnsi="Times New Roman" w:cs="Times New Roman"/>
          <w:sz w:val="24"/>
          <w:szCs w:val="24"/>
        </w:rPr>
        <w:t>4 214</w:t>
      </w:r>
      <w:r w:rsidR="009723B5">
        <w:rPr>
          <w:rFonts w:ascii="Times New Roman" w:eastAsia="Calibri" w:hAnsi="Times New Roman" w:cs="Times New Roman"/>
          <w:sz w:val="24"/>
          <w:szCs w:val="24"/>
        </w:rPr>
        <w:t> </w:t>
      </w:r>
      <w:r w:rsidR="005F54F5">
        <w:rPr>
          <w:rFonts w:ascii="Times New Roman" w:eastAsia="Calibri" w:hAnsi="Times New Roman" w:cs="Times New Roman"/>
          <w:sz w:val="24"/>
          <w:szCs w:val="24"/>
        </w:rPr>
        <w:t>677</w:t>
      </w:r>
      <w:r w:rsidR="009723B5">
        <w:rPr>
          <w:rFonts w:ascii="Times New Roman" w:eastAsia="Calibri" w:hAnsi="Times New Roman" w:cs="Times New Roman"/>
          <w:sz w:val="24"/>
          <w:szCs w:val="24"/>
        </w:rPr>
        <w:t xml:space="preserve"> </w:t>
      </w:r>
      <w:proofErr w:type="spellStart"/>
      <w:r w:rsidR="009723B5"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(tai skaitā</w:t>
      </w:r>
      <w:r w:rsidR="009723B5">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maksas pakalpojumi – </w:t>
      </w:r>
      <w:r w:rsidR="005F54F5">
        <w:rPr>
          <w:rFonts w:ascii="Times New Roman" w:eastAsia="Calibri" w:hAnsi="Times New Roman" w:cs="Times New Roman"/>
          <w:sz w:val="24"/>
          <w:szCs w:val="24"/>
        </w:rPr>
        <w:t>273 734</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valsts mērķdotācijas – </w:t>
      </w:r>
      <w:r w:rsidR="005F54F5">
        <w:rPr>
          <w:rFonts w:ascii="Times New Roman" w:eastAsia="Calibri" w:hAnsi="Times New Roman" w:cs="Times New Roman"/>
          <w:sz w:val="24"/>
          <w:szCs w:val="24"/>
        </w:rPr>
        <w:t>2 025 562</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005F54F5" w:rsidRPr="005F54F5">
        <w:rPr>
          <w:rFonts w:ascii="Times New Roman" w:eastAsia="Calibri" w:hAnsi="Times New Roman" w:cs="Times New Roman"/>
          <w:sz w:val="24"/>
          <w:szCs w:val="24"/>
        </w:rPr>
        <w:t>)</w:t>
      </w:r>
      <w:r w:rsidR="005F54F5">
        <w:rPr>
          <w:rFonts w:ascii="Times New Roman" w:eastAsia="Calibri" w:hAnsi="Times New Roman" w:cs="Times New Roman"/>
          <w:i/>
          <w:sz w:val="24"/>
          <w:szCs w:val="24"/>
        </w:rPr>
        <w:t>.</w:t>
      </w:r>
      <w:r w:rsidR="005F54F5">
        <w:rPr>
          <w:rFonts w:ascii="Times New Roman" w:eastAsia="Calibri" w:hAnsi="Times New Roman" w:cs="Times New Roman"/>
          <w:sz w:val="24"/>
          <w:szCs w:val="24"/>
        </w:rPr>
        <w:t xml:space="preserve"> Palielinājums kopumā ir par 7.2</w:t>
      </w:r>
      <w:r w:rsidRPr="00E51FB8">
        <w:rPr>
          <w:rFonts w:ascii="Times New Roman" w:eastAsia="Calibri" w:hAnsi="Times New Roman" w:cs="Times New Roman"/>
          <w:sz w:val="24"/>
          <w:szCs w:val="24"/>
        </w:rPr>
        <w:t xml:space="preserve"> % </w:t>
      </w:r>
      <w:r w:rsidR="005F54F5">
        <w:rPr>
          <w:rFonts w:ascii="Times New Roman" w:eastAsia="Calibri" w:hAnsi="Times New Roman" w:cs="Times New Roman"/>
          <w:sz w:val="24"/>
          <w:szCs w:val="24"/>
        </w:rPr>
        <w:t xml:space="preserve"> jeb 282 925</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Tāpat ir plānots pašvaldības līdzfinansējums skolēnu ēdināšanai skolās</w:t>
      </w:r>
      <w:r w:rsidR="00215084">
        <w:rPr>
          <w:rFonts w:ascii="Times New Roman" w:eastAsia="Calibri" w:hAnsi="Times New Roman" w:cs="Times New Roman"/>
          <w:sz w:val="24"/>
          <w:szCs w:val="24"/>
        </w:rPr>
        <w:t xml:space="preserve">: </w:t>
      </w:r>
      <w:r w:rsidR="00B46490">
        <w:rPr>
          <w:rFonts w:ascii="Times New Roman" w:eastAsia="Calibri" w:hAnsi="Times New Roman" w:cs="Times New Roman"/>
          <w:sz w:val="24"/>
          <w:szCs w:val="24"/>
        </w:rPr>
        <w:t xml:space="preserve"> </w:t>
      </w:r>
      <w:r w:rsidR="001D0D77">
        <w:rPr>
          <w:rFonts w:ascii="Times New Roman" w:eastAsia="Calibri" w:hAnsi="Times New Roman" w:cs="Times New Roman"/>
          <w:sz w:val="24"/>
          <w:szCs w:val="24"/>
        </w:rPr>
        <w:t xml:space="preserve">no 2016.gada 1.septembra plānoti līdzekļi izglītojamo brīvpusdienām 6.-9. klašu audzēkņiem un 5-6 gadīgo obligātās apmācības audzēkņiem novada pamatskolās, Kandavas </w:t>
      </w:r>
      <w:proofErr w:type="spellStart"/>
      <w:r w:rsidR="001D0D77">
        <w:rPr>
          <w:rFonts w:ascii="Times New Roman" w:eastAsia="Calibri" w:hAnsi="Times New Roman" w:cs="Times New Roman"/>
          <w:sz w:val="24"/>
          <w:szCs w:val="24"/>
        </w:rPr>
        <w:t>K.Mīlenbaha</w:t>
      </w:r>
      <w:proofErr w:type="spellEnd"/>
      <w:r w:rsidR="001D0D77">
        <w:rPr>
          <w:rFonts w:ascii="Times New Roman" w:eastAsia="Calibri" w:hAnsi="Times New Roman" w:cs="Times New Roman"/>
          <w:sz w:val="24"/>
          <w:szCs w:val="24"/>
        </w:rPr>
        <w:t xml:space="preserve"> vidusskolā un Kandavas internātvidusskolā;</w:t>
      </w:r>
      <w:r w:rsidRPr="00E51FB8">
        <w:rPr>
          <w:rFonts w:ascii="Times New Roman" w:eastAsia="Calibri" w:hAnsi="Times New Roman" w:cs="Times New Roman"/>
          <w:sz w:val="24"/>
          <w:szCs w:val="24"/>
        </w:rPr>
        <w:t xml:space="preserve"> līdzfinansējums skolēnu ceļa izdevum</w:t>
      </w:r>
      <w:r w:rsidR="001D0D77">
        <w:rPr>
          <w:rFonts w:ascii="Times New Roman" w:eastAsia="Calibri" w:hAnsi="Times New Roman" w:cs="Times New Roman"/>
          <w:sz w:val="24"/>
          <w:szCs w:val="24"/>
        </w:rPr>
        <w:t>u segšanai, lai apmeklētu skolu;</w:t>
      </w:r>
      <w:r w:rsidRPr="00E51FB8">
        <w:rPr>
          <w:rFonts w:ascii="Times New Roman" w:eastAsia="Calibri" w:hAnsi="Times New Roman" w:cs="Times New Roman"/>
          <w:sz w:val="24"/>
          <w:szCs w:val="24"/>
        </w:rPr>
        <w:t xml:space="preserve"> minim</w:t>
      </w:r>
      <w:r w:rsidR="001D0D77">
        <w:rPr>
          <w:rFonts w:ascii="Times New Roman" w:eastAsia="Calibri" w:hAnsi="Times New Roman" w:cs="Times New Roman"/>
          <w:sz w:val="24"/>
          <w:szCs w:val="24"/>
        </w:rPr>
        <w:t>ālās darba a</w:t>
      </w:r>
      <w:r w:rsidR="009723B5">
        <w:rPr>
          <w:rFonts w:ascii="Times New Roman" w:eastAsia="Calibri" w:hAnsi="Times New Roman" w:cs="Times New Roman"/>
          <w:sz w:val="24"/>
          <w:szCs w:val="24"/>
        </w:rPr>
        <w:t>lgas palielinājums</w:t>
      </w:r>
      <w:r w:rsidR="001D0D77">
        <w:rPr>
          <w:rFonts w:ascii="Times New Roman" w:eastAsia="Calibri" w:hAnsi="Times New Roman" w:cs="Times New Roman"/>
          <w:sz w:val="24"/>
          <w:szCs w:val="24"/>
        </w:rPr>
        <w:t xml:space="preserve"> no 36</w:t>
      </w:r>
      <w:r w:rsidRPr="00E51FB8">
        <w:rPr>
          <w:rFonts w:ascii="Times New Roman" w:eastAsia="Calibri" w:hAnsi="Times New Roman" w:cs="Times New Roman"/>
          <w:sz w:val="24"/>
          <w:szCs w:val="24"/>
        </w:rPr>
        <w:t xml:space="preserve">0 </w:t>
      </w:r>
      <w:proofErr w:type="spellStart"/>
      <w:r w:rsidRPr="00E51FB8">
        <w:rPr>
          <w:rFonts w:ascii="Times New Roman" w:eastAsia="Calibri" w:hAnsi="Times New Roman" w:cs="Times New Roman"/>
          <w:i/>
          <w:sz w:val="24"/>
          <w:szCs w:val="24"/>
        </w:rPr>
        <w:t>euro</w:t>
      </w:r>
      <w:proofErr w:type="spellEnd"/>
      <w:r w:rsidR="001D0D77">
        <w:rPr>
          <w:rFonts w:ascii="Times New Roman" w:eastAsia="Calibri" w:hAnsi="Times New Roman" w:cs="Times New Roman"/>
          <w:sz w:val="24"/>
          <w:szCs w:val="24"/>
        </w:rPr>
        <w:t xml:space="preserve"> uz 37</w:t>
      </w:r>
      <w:r w:rsidRPr="00E51FB8">
        <w:rPr>
          <w:rFonts w:ascii="Times New Roman" w:eastAsia="Calibri" w:hAnsi="Times New Roman" w:cs="Times New Roman"/>
          <w:sz w:val="24"/>
          <w:szCs w:val="24"/>
        </w:rPr>
        <w:t xml:space="preserve">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r w:rsidR="009723B5">
        <w:rPr>
          <w:rFonts w:ascii="Times New Roman" w:eastAsia="Calibri" w:hAnsi="Times New Roman" w:cs="Times New Roman"/>
          <w:sz w:val="24"/>
          <w:szCs w:val="24"/>
        </w:rPr>
        <w:t>9 441</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r w:rsidR="009723B5">
        <w:rPr>
          <w:rFonts w:ascii="Times New Roman" w:eastAsia="Calibri" w:hAnsi="Times New Roman" w:cs="Times New Roman"/>
          <w:sz w:val="24"/>
          <w:szCs w:val="24"/>
        </w:rPr>
        <w:t>2016</w:t>
      </w:r>
      <w:r w:rsidRPr="00E51FB8">
        <w:rPr>
          <w:rFonts w:ascii="Times New Roman" w:eastAsia="Calibri" w:hAnsi="Times New Roman" w:cs="Times New Roman"/>
          <w:sz w:val="24"/>
          <w:szCs w:val="24"/>
        </w:rPr>
        <w:t>.gadā ir plānot</w:t>
      </w:r>
      <w:r w:rsidR="00571D38">
        <w:rPr>
          <w:rFonts w:ascii="Times New Roman" w:eastAsia="Calibri" w:hAnsi="Times New Roman" w:cs="Times New Roman"/>
          <w:sz w:val="24"/>
          <w:szCs w:val="24"/>
        </w:rPr>
        <w:t>a</w:t>
      </w:r>
      <w:r w:rsidR="00571D38" w:rsidRPr="00571D38">
        <w:rPr>
          <w:rFonts w:ascii="Times New Roman" w:eastAsia="Calibri" w:hAnsi="Times New Roman" w:cs="Times New Roman"/>
          <w:sz w:val="24"/>
          <w:szCs w:val="24"/>
        </w:rPr>
        <w:t xml:space="preserve"> </w:t>
      </w:r>
      <w:r w:rsidR="00571D38">
        <w:rPr>
          <w:rFonts w:ascii="Times New Roman" w:eastAsia="Calibri" w:hAnsi="Times New Roman" w:cs="Times New Roman"/>
          <w:sz w:val="24"/>
          <w:szCs w:val="24"/>
        </w:rPr>
        <w:t xml:space="preserve">Kandavas mūzikas skolas pārvietošana uz Mākslas skolas telpām Kandavā Sabiles ielā 12  </w:t>
      </w:r>
      <w:r w:rsidRPr="00E51FB8">
        <w:rPr>
          <w:rFonts w:ascii="Times New Roman" w:eastAsia="Calibri" w:hAnsi="Times New Roman" w:cs="Times New Roman"/>
          <w:sz w:val="24"/>
          <w:szCs w:val="24"/>
        </w:rPr>
        <w:t>ar aizņēmuma līdzekļiem (</w:t>
      </w:r>
      <w:r w:rsidR="00571D38">
        <w:rPr>
          <w:rFonts w:ascii="Times New Roman" w:eastAsia="Calibri" w:hAnsi="Times New Roman" w:cs="Times New Roman"/>
          <w:sz w:val="24"/>
          <w:szCs w:val="24"/>
        </w:rPr>
        <w:t>2</w:t>
      </w:r>
      <w:r w:rsidR="0090140B">
        <w:rPr>
          <w:rFonts w:ascii="Times New Roman" w:eastAsia="Calibri" w:hAnsi="Times New Roman" w:cs="Times New Roman"/>
          <w:sz w:val="24"/>
          <w:szCs w:val="24"/>
        </w:rPr>
        <w:t>41</w:t>
      </w:r>
      <w:r w:rsidR="00571D38">
        <w:rPr>
          <w:rFonts w:ascii="Times New Roman" w:eastAsia="Calibri" w:hAnsi="Times New Roman" w:cs="Times New Roman"/>
          <w:sz w:val="24"/>
          <w:szCs w:val="24"/>
        </w:rPr>
        <w:t xml:space="preserve"> 119</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w:t>
      </w:r>
    </w:p>
    <w:p w:rsidR="008807ED"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9</w:t>
      </w:r>
      <w:r w:rsidRPr="00E51FB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51FB8">
        <w:rPr>
          <w:rFonts w:ascii="Times New Roman" w:eastAsia="Calibri" w:hAnsi="Times New Roman" w:cs="Times New Roman"/>
          <w:sz w:val="24"/>
          <w:szCs w:val="24"/>
        </w:rPr>
        <w:t>Sociālā palīdzība un sociālie pak</w:t>
      </w:r>
      <w:r w:rsidR="00571D38">
        <w:rPr>
          <w:rFonts w:ascii="Times New Roman" w:eastAsia="Calibri" w:hAnsi="Times New Roman" w:cs="Times New Roman"/>
          <w:sz w:val="24"/>
          <w:szCs w:val="24"/>
        </w:rPr>
        <w:t>alpojumi. Plānotie līdzekļi 2016.gadā ir</w:t>
      </w:r>
      <w:r w:rsidR="00D81772">
        <w:rPr>
          <w:rFonts w:ascii="Times New Roman" w:eastAsia="Calibri" w:hAnsi="Times New Roman" w:cs="Times New Roman"/>
          <w:sz w:val="24"/>
          <w:szCs w:val="24"/>
        </w:rPr>
        <w:t xml:space="preserve">                </w:t>
      </w:r>
      <w:r w:rsidR="00571D38">
        <w:rPr>
          <w:rFonts w:ascii="Times New Roman" w:eastAsia="Calibri" w:hAnsi="Times New Roman" w:cs="Times New Roman"/>
          <w:sz w:val="24"/>
          <w:szCs w:val="24"/>
        </w:rPr>
        <w:t xml:space="preserve"> 893 785</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kas ir par </w:t>
      </w:r>
      <w:r w:rsidR="009D546C">
        <w:rPr>
          <w:rFonts w:ascii="Times New Roman" w:eastAsia="Calibri" w:hAnsi="Times New Roman" w:cs="Times New Roman"/>
          <w:sz w:val="24"/>
          <w:szCs w:val="24"/>
        </w:rPr>
        <w:t>1,4</w:t>
      </w:r>
      <w:r w:rsidRPr="00E51FB8">
        <w:rPr>
          <w:rFonts w:ascii="Times New Roman" w:eastAsia="Calibri" w:hAnsi="Times New Roman" w:cs="Times New Roman"/>
          <w:sz w:val="24"/>
          <w:szCs w:val="24"/>
        </w:rPr>
        <w:t xml:space="preserve"> % </w:t>
      </w:r>
      <w:r w:rsidR="009D546C">
        <w:rPr>
          <w:rFonts w:ascii="Times New Roman" w:eastAsia="Calibri" w:hAnsi="Times New Roman" w:cs="Times New Roman"/>
          <w:sz w:val="24"/>
          <w:szCs w:val="24"/>
        </w:rPr>
        <w:t>mazāk</w:t>
      </w:r>
      <w:r w:rsidRPr="00E51FB8">
        <w:rPr>
          <w:rFonts w:ascii="Times New Roman" w:eastAsia="Calibri" w:hAnsi="Times New Roman" w:cs="Times New Roman"/>
          <w:sz w:val="24"/>
          <w:szCs w:val="24"/>
        </w:rPr>
        <w:t xml:space="preserve"> </w:t>
      </w:r>
      <w:r w:rsidR="009D546C">
        <w:rPr>
          <w:rFonts w:ascii="Times New Roman" w:eastAsia="Calibri" w:hAnsi="Times New Roman" w:cs="Times New Roman"/>
          <w:sz w:val="24"/>
          <w:szCs w:val="24"/>
        </w:rPr>
        <w:t>kā 2015</w:t>
      </w:r>
      <w:r w:rsidRPr="00E51FB8">
        <w:rPr>
          <w:rFonts w:ascii="Times New Roman" w:eastAsia="Calibri" w:hAnsi="Times New Roman" w:cs="Times New Roman"/>
          <w:sz w:val="24"/>
          <w:szCs w:val="24"/>
        </w:rPr>
        <w:t>.gadā (</w:t>
      </w:r>
      <w:r w:rsidR="009D546C">
        <w:rPr>
          <w:rFonts w:ascii="Times New Roman" w:eastAsia="Calibri" w:hAnsi="Times New Roman" w:cs="Times New Roman"/>
          <w:sz w:val="24"/>
          <w:szCs w:val="24"/>
        </w:rPr>
        <w:t>13 106</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w:t>
      </w:r>
    </w:p>
    <w:p w:rsidR="009D546C" w:rsidRPr="00E51FB8" w:rsidRDefault="009D546C" w:rsidP="008807ED">
      <w:pPr>
        <w:spacing w:after="0" w:line="240" w:lineRule="auto"/>
        <w:ind w:firstLine="720"/>
        <w:jc w:val="both"/>
        <w:rPr>
          <w:rFonts w:ascii="Times New Roman" w:eastAsia="Calibri" w:hAnsi="Times New Roman" w:cs="Times New Roman"/>
          <w:sz w:val="24"/>
          <w:szCs w:val="24"/>
        </w:rPr>
      </w:pPr>
    </w:p>
    <w:p w:rsidR="008807ED" w:rsidRDefault="009D546C" w:rsidP="009D54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Kandavas novada pašvaldības s</w:t>
      </w:r>
      <w:r w:rsidR="008807ED" w:rsidRPr="00E51FB8">
        <w:rPr>
          <w:rFonts w:ascii="Times New Roman" w:eastAsia="Calibri" w:hAnsi="Times New Roman" w:cs="Times New Roman"/>
          <w:b/>
          <w:sz w:val="24"/>
          <w:szCs w:val="24"/>
        </w:rPr>
        <w:t>peciālais budžets</w:t>
      </w:r>
    </w:p>
    <w:p w:rsidR="00BC300B" w:rsidRPr="00E51FB8" w:rsidRDefault="00BC300B" w:rsidP="009D546C">
      <w:pPr>
        <w:spacing w:after="0" w:line="240" w:lineRule="auto"/>
        <w:jc w:val="center"/>
        <w:rPr>
          <w:rFonts w:ascii="Times New Roman" w:eastAsia="Calibri" w:hAnsi="Times New Roman" w:cs="Times New Roman"/>
          <w:b/>
          <w:sz w:val="24"/>
          <w:szCs w:val="24"/>
        </w:rPr>
      </w:pPr>
    </w:p>
    <w:p w:rsidR="009D546C" w:rsidRDefault="009D546C" w:rsidP="008807E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8807ED" w:rsidRPr="00E51FB8">
        <w:rPr>
          <w:rFonts w:ascii="Times New Roman" w:eastAsia="Calibri" w:hAnsi="Times New Roman" w:cs="Times New Roman"/>
          <w:sz w:val="24"/>
          <w:szCs w:val="24"/>
        </w:rPr>
        <w:t xml:space="preserve"> novada pašvaldības speciālo budžetu veido Dabas resursu nodoklis un Autoceļa fonda ieņēmumi. Kopējie ieņēmumi ir </w:t>
      </w:r>
      <w:r>
        <w:rPr>
          <w:rFonts w:ascii="Times New Roman" w:eastAsia="Calibri" w:hAnsi="Times New Roman" w:cs="Times New Roman"/>
          <w:sz w:val="24"/>
          <w:szCs w:val="24"/>
        </w:rPr>
        <w:t>277 681</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izdevumi </w:t>
      </w:r>
      <w:r>
        <w:rPr>
          <w:rFonts w:ascii="Times New Roman" w:eastAsia="Calibri" w:hAnsi="Times New Roman" w:cs="Times New Roman"/>
          <w:sz w:val="24"/>
          <w:szCs w:val="24"/>
        </w:rPr>
        <w:t>284 926</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atlikums</w:t>
      </w:r>
      <w:r w:rsidR="008807ED" w:rsidRPr="008807ED">
        <w:rPr>
          <w:rFonts w:ascii="Times New Roman" w:eastAsia="Calibri" w:hAnsi="Times New Roman" w:cs="Times New Roman"/>
          <w:sz w:val="24"/>
          <w:szCs w:val="24"/>
        </w:rPr>
        <w:t xml:space="preserve"> </w:t>
      </w:r>
      <w:r w:rsidR="008807ED" w:rsidRPr="00E51FB8">
        <w:rPr>
          <w:rFonts w:ascii="Times New Roman" w:eastAsia="Calibri" w:hAnsi="Times New Roman" w:cs="Times New Roman"/>
          <w:sz w:val="24"/>
          <w:szCs w:val="24"/>
        </w:rPr>
        <w:t>uz 01.01.201</w:t>
      </w:r>
      <w:r>
        <w:rPr>
          <w:rFonts w:ascii="Times New Roman" w:eastAsia="Calibri" w:hAnsi="Times New Roman" w:cs="Times New Roman"/>
          <w:sz w:val="24"/>
          <w:szCs w:val="24"/>
        </w:rPr>
        <w:t>6.</w:t>
      </w:r>
      <w:r w:rsidR="008807ED" w:rsidRPr="00E51FB8">
        <w:rPr>
          <w:rFonts w:ascii="Times New Roman" w:eastAsia="Calibri" w:hAnsi="Times New Roman" w:cs="Times New Roman"/>
          <w:sz w:val="24"/>
          <w:szCs w:val="24"/>
        </w:rPr>
        <w:t xml:space="preserve"> ir </w:t>
      </w:r>
      <w:r>
        <w:rPr>
          <w:rFonts w:ascii="Times New Roman" w:eastAsia="Calibri" w:hAnsi="Times New Roman" w:cs="Times New Roman"/>
          <w:sz w:val="24"/>
          <w:szCs w:val="24"/>
        </w:rPr>
        <w:t xml:space="preserve"> 7 245</w:t>
      </w:r>
      <w:r w:rsidR="008807ED" w:rsidRPr="00E51FB8">
        <w:rPr>
          <w:rFonts w:ascii="Times New Roman" w:eastAsia="Calibri" w:hAnsi="Times New Roman" w:cs="Times New Roman"/>
          <w:sz w:val="24"/>
          <w:szCs w:val="24"/>
        </w:rPr>
        <w:t xml:space="preserve"> </w:t>
      </w:r>
      <w:proofErr w:type="spellStart"/>
      <w:r w:rsidR="008807ED" w:rsidRPr="00E51FB8">
        <w:rPr>
          <w:rFonts w:ascii="Times New Roman" w:eastAsia="Calibri" w:hAnsi="Times New Roman" w:cs="Times New Roman"/>
          <w:i/>
          <w:sz w:val="24"/>
          <w:szCs w:val="24"/>
        </w:rPr>
        <w:t>euro</w:t>
      </w:r>
      <w:proofErr w:type="spellEnd"/>
      <w:r w:rsidR="008807ED" w:rsidRPr="00E51FB8">
        <w:rPr>
          <w:rFonts w:ascii="Times New Roman" w:eastAsia="Calibri" w:hAnsi="Times New Roman" w:cs="Times New Roman"/>
          <w:sz w:val="24"/>
          <w:szCs w:val="24"/>
        </w:rPr>
        <w:t xml:space="preserve">. Speciālā budžeta ieņēmumi un izdevumi novadā tiek plānoti centralizēti. </w:t>
      </w:r>
    </w:p>
    <w:p w:rsidR="009D546C"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Dabas resursa nodokļa ieņēmumi tiek plānoti lietus ūdeņu savākšanai, attīrīšanai, </w:t>
      </w:r>
      <w:r w:rsidR="00FF4948">
        <w:rPr>
          <w:rFonts w:ascii="Times New Roman" w:eastAsia="Calibri" w:hAnsi="Times New Roman" w:cs="Times New Roman"/>
          <w:sz w:val="24"/>
          <w:szCs w:val="24"/>
        </w:rPr>
        <w:t xml:space="preserve">atkritumu savākšanai </w:t>
      </w:r>
      <w:r w:rsidRPr="00E51FB8">
        <w:rPr>
          <w:rFonts w:ascii="Times New Roman" w:eastAsia="Calibri" w:hAnsi="Times New Roman" w:cs="Times New Roman"/>
          <w:sz w:val="24"/>
          <w:szCs w:val="24"/>
        </w:rPr>
        <w:t xml:space="preserve">un citiem izdevumiem, kuri saistīti ar vides aizsardzību novadā. </w:t>
      </w:r>
    </w:p>
    <w:p w:rsidR="008807ED"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Plānot</w:t>
      </w:r>
      <w:r w:rsidR="009D546C">
        <w:rPr>
          <w:rFonts w:ascii="Times New Roman" w:eastAsia="Calibri" w:hAnsi="Times New Roman" w:cs="Times New Roman"/>
          <w:sz w:val="24"/>
          <w:szCs w:val="24"/>
        </w:rPr>
        <w:t>ie</w:t>
      </w:r>
      <w:r w:rsidRPr="00E51FB8">
        <w:rPr>
          <w:rFonts w:ascii="Times New Roman" w:eastAsia="Calibri" w:hAnsi="Times New Roman" w:cs="Times New Roman"/>
          <w:sz w:val="24"/>
          <w:szCs w:val="24"/>
        </w:rPr>
        <w:t xml:space="preserve"> autoceļa fonda ieņēmum</w:t>
      </w:r>
      <w:r w:rsidR="009D546C">
        <w:rPr>
          <w:rFonts w:ascii="Times New Roman" w:eastAsia="Calibri" w:hAnsi="Times New Roman" w:cs="Times New Roman"/>
          <w:sz w:val="24"/>
          <w:szCs w:val="24"/>
        </w:rPr>
        <w:t>i</w:t>
      </w:r>
      <w:r w:rsidRPr="00E51FB8">
        <w:rPr>
          <w:rFonts w:ascii="Times New Roman" w:eastAsia="Calibri" w:hAnsi="Times New Roman" w:cs="Times New Roman"/>
          <w:sz w:val="24"/>
          <w:szCs w:val="24"/>
        </w:rPr>
        <w:t xml:space="preserve"> </w:t>
      </w:r>
      <w:r w:rsidR="009D546C">
        <w:rPr>
          <w:rFonts w:ascii="Times New Roman" w:eastAsia="Calibri" w:hAnsi="Times New Roman" w:cs="Times New Roman"/>
          <w:sz w:val="24"/>
          <w:szCs w:val="24"/>
        </w:rPr>
        <w:t>2016.gadā – 267 681</w:t>
      </w:r>
      <w:r w:rsidRPr="00E51FB8">
        <w:rPr>
          <w:rFonts w:ascii="Times New Roman" w:eastAsia="Calibri" w:hAnsi="Times New Roman" w:cs="Times New Roman"/>
          <w:sz w:val="24"/>
          <w:szCs w:val="24"/>
        </w:rPr>
        <w:t xml:space="preserve"> </w:t>
      </w:r>
      <w:proofErr w:type="spellStart"/>
      <w:r w:rsidRPr="00E51FB8">
        <w:rPr>
          <w:rFonts w:ascii="Times New Roman" w:eastAsia="Calibri" w:hAnsi="Times New Roman" w:cs="Times New Roman"/>
          <w:i/>
          <w:sz w:val="24"/>
          <w:szCs w:val="24"/>
        </w:rPr>
        <w:t>euro</w:t>
      </w:r>
      <w:proofErr w:type="spellEnd"/>
      <w:r w:rsidR="009D546C">
        <w:rPr>
          <w:rFonts w:ascii="Times New Roman" w:eastAsia="Calibri" w:hAnsi="Times New Roman" w:cs="Times New Roman"/>
          <w:i/>
          <w:sz w:val="24"/>
          <w:szCs w:val="24"/>
        </w:rPr>
        <w:t xml:space="preserve">, </w:t>
      </w:r>
      <w:r w:rsidR="009D546C" w:rsidRPr="009D546C">
        <w:rPr>
          <w:rFonts w:ascii="Times New Roman" w:eastAsia="Calibri" w:hAnsi="Times New Roman" w:cs="Times New Roman"/>
          <w:sz w:val="24"/>
          <w:szCs w:val="24"/>
        </w:rPr>
        <w:t>pa</w:t>
      </w:r>
      <w:r w:rsidR="009D546C">
        <w:rPr>
          <w:rFonts w:ascii="Times New Roman" w:eastAsia="Calibri" w:hAnsi="Times New Roman" w:cs="Times New Roman"/>
          <w:sz w:val="24"/>
          <w:szCs w:val="24"/>
        </w:rPr>
        <w:t>lielinājums</w:t>
      </w:r>
      <w:r w:rsidR="00D81772">
        <w:rPr>
          <w:rFonts w:ascii="Times New Roman" w:eastAsia="Calibri" w:hAnsi="Times New Roman" w:cs="Times New Roman"/>
          <w:sz w:val="24"/>
          <w:szCs w:val="24"/>
        </w:rPr>
        <w:t xml:space="preserve"> 19</w:t>
      </w:r>
      <w:r w:rsidR="009D546C">
        <w:rPr>
          <w:rFonts w:ascii="Times New Roman" w:eastAsia="Calibri" w:hAnsi="Times New Roman" w:cs="Times New Roman"/>
          <w:sz w:val="24"/>
          <w:szCs w:val="24"/>
        </w:rPr>
        <w:t>557</w:t>
      </w:r>
      <w:r w:rsidRPr="009D546C">
        <w:rPr>
          <w:rFonts w:ascii="Times New Roman" w:eastAsia="Calibri" w:hAnsi="Times New Roman" w:cs="Times New Roman"/>
          <w:sz w:val="24"/>
          <w:szCs w:val="24"/>
        </w:rPr>
        <w:t xml:space="preserve"> </w:t>
      </w:r>
      <w:proofErr w:type="spellStart"/>
      <w:r w:rsidR="009D546C" w:rsidRPr="00E51FB8">
        <w:rPr>
          <w:rFonts w:ascii="Times New Roman" w:eastAsia="Calibri" w:hAnsi="Times New Roman" w:cs="Times New Roman"/>
          <w:i/>
          <w:sz w:val="24"/>
          <w:szCs w:val="24"/>
        </w:rPr>
        <w:t>euro</w:t>
      </w:r>
      <w:proofErr w:type="spellEnd"/>
      <w:r w:rsidR="009D546C">
        <w:rPr>
          <w:rFonts w:ascii="Times New Roman" w:eastAsia="Calibri" w:hAnsi="Times New Roman" w:cs="Times New Roman"/>
          <w:i/>
          <w:sz w:val="24"/>
          <w:szCs w:val="24"/>
        </w:rPr>
        <w:t xml:space="preserve">. </w:t>
      </w:r>
      <w:r w:rsidR="00B44794">
        <w:rPr>
          <w:rFonts w:ascii="Times New Roman" w:eastAsia="Calibri" w:hAnsi="Times New Roman" w:cs="Times New Roman"/>
          <w:sz w:val="24"/>
          <w:szCs w:val="24"/>
        </w:rPr>
        <w:t>Minētie līdzekļi paredzēti novada ceļu kopšanai.</w:t>
      </w:r>
      <w:r w:rsidR="009D546C">
        <w:rPr>
          <w:rFonts w:ascii="Times New Roman" w:eastAsia="Calibri" w:hAnsi="Times New Roman" w:cs="Times New Roman"/>
          <w:i/>
          <w:sz w:val="24"/>
          <w:szCs w:val="24"/>
        </w:rPr>
        <w:t xml:space="preserve"> </w:t>
      </w:r>
    </w:p>
    <w:p w:rsidR="008807ED" w:rsidRPr="00E51FB8" w:rsidRDefault="00B44794" w:rsidP="008807E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2016.gada Kandavas novada</w:t>
      </w:r>
      <w:r w:rsidR="008807ED" w:rsidRPr="00E51FB8">
        <w:rPr>
          <w:rFonts w:ascii="Times New Roman" w:eastAsia="Calibri" w:hAnsi="Times New Roman" w:cs="Times New Roman"/>
          <w:sz w:val="24"/>
          <w:szCs w:val="24"/>
        </w:rPr>
        <w:t xml:space="preserve"> pašvaldības budžeta ieņēmumu un izdevumu daļa ir sagatavota sabalansēta un lielākais</w:t>
      </w:r>
      <w:r>
        <w:rPr>
          <w:rFonts w:ascii="Times New Roman" w:eastAsia="Calibri" w:hAnsi="Times New Roman" w:cs="Times New Roman"/>
          <w:sz w:val="24"/>
          <w:szCs w:val="24"/>
        </w:rPr>
        <w:t xml:space="preserve"> atbalsts ir plānots izglītībai;</w:t>
      </w:r>
      <w:r w:rsidR="008807ED" w:rsidRPr="00E51FB8">
        <w:rPr>
          <w:rFonts w:ascii="Times New Roman" w:eastAsia="Calibri" w:hAnsi="Times New Roman" w:cs="Times New Roman"/>
          <w:sz w:val="24"/>
          <w:szCs w:val="24"/>
        </w:rPr>
        <w:t xml:space="preserve"> kultūrai, sportam un pašvaldības teritorijas un mājokļu sakārtošanai. </w:t>
      </w:r>
      <w:r>
        <w:rPr>
          <w:rFonts w:ascii="Times New Roman" w:eastAsia="Calibri" w:hAnsi="Times New Roman" w:cs="Times New Roman"/>
          <w:sz w:val="24"/>
          <w:szCs w:val="24"/>
        </w:rPr>
        <w:t xml:space="preserve">Kā prioritāte 2016.gadā ir noteikta Kandavas mūzikas skolas pārvietošana uz Mākslas skolas telpām Kandavā Sabiles ielā 12 un mūzikas skolas pārbūve, lai telpas piemērotu Kandavas pilsētas bibliotēkas vajadzībām. </w:t>
      </w:r>
      <w:r w:rsidR="008807ED" w:rsidRPr="00E51FB8">
        <w:rPr>
          <w:rFonts w:ascii="Times New Roman" w:eastAsia="Calibri" w:hAnsi="Times New Roman" w:cs="Times New Roman"/>
          <w:sz w:val="24"/>
          <w:szCs w:val="24"/>
        </w:rPr>
        <w:t xml:space="preserve">Tāpat galvenais uzsvars novada attīstībai ir plānot un īstenot projektus ar Eiropas Savienības līdzfinansējumu, jo novadā ir nepieciešamas investīcijas infrastruktūrā, izglītības un kultūras iestādēs. </w:t>
      </w:r>
    </w:p>
    <w:p w:rsidR="008807ED" w:rsidRPr="00E51FB8" w:rsidRDefault="008807ED" w:rsidP="008807ED">
      <w:pPr>
        <w:spacing w:after="0" w:line="240" w:lineRule="auto"/>
        <w:ind w:firstLine="720"/>
        <w:jc w:val="both"/>
        <w:rPr>
          <w:rFonts w:ascii="Times New Roman" w:eastAsia="Calibri" w:hAnsi="Times New Roman" w:cs="Times New Roman"/>
          <w:i/>
          <w:sz w:val="24"/>
          <w:szCs w:val="24"/>
        </w:rPr>
      </w:pPr>
    </w:p>
    <w:p w:rsidR="008807ED" w:rsidRPr="00E51FB8" w:rsidRDefault="008807ED" w:rsidP="008807ED">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i/>
          <w:sz w:val="24"/>
          <w:szCs w:val="24"/>
        </w:rPr>
        <w:lastRenderedPageBreak/>
        <w:t xml:space="preserve">2. Informācija par izdevumu kopējo apjomu katrā budžeta klasifikācijas kategorijā un finansējuma mērķis parādīti pielikumos </w:t>
      </w:r>
      <w:r w:rsidR="00B44794">
        <w:rPr>
          <w:rFonts w:ascii="Times New Roman" w:eastAsia="Calibri" w:hAnsi="Times New Roman" w:cs="Times New Roman"/>
          <w:i/>
          <w:sz w:val="24"/>
          <w:szCs w:val="24"/>
        </w:rPr>
        <w:t xml:space="preserve"> ( Kandavas </w:t>
      </w:r>
      <w:r w:rsidRPr="00E51FB8">
        <w:rPr>
          <w:rFonts w:ascii="Times New Roman" w:eastAsia="Calibri" w:hAnsi="Times New Roman" w:cs="Times New Roman"/>
          <w:i/>
          <w:sz w:val="24"/>
          <w:szCs w:val="24"/>
        </w:rPr>
        <w:t xml:space="preserve"> novada 201</w:t>
      </w:r>
      <w:r w:rsidR="00B44794">
        <w:rPr>
          <w:rFonts w:ascii="Times New Roman" w:eastAsia="Calibri" w:hAnsi="Times New Roman" w:cs="Times New Roman"/>
          <w:i/>
          <w:sz w:val="24"/>
          <w:szCs w:val="24"/>
        </w:rPr>
        <w:t>6</w:t>
      </w:r>
      <w:r w:rsidRPr="00E51FB8">
        <w:rPr>
          <w:rFonts w:ascii="Times New Roman" w:eastAsia="Calibri" w:hAnsi="Times New Roman" w:cs="Times New Roman"/>
          <w:i/>
          <w:sz w:val="24"/>
          <w:szCs w:val="24"/>
        </w:rPr>
        <w:t>.gada pamatbudžeta izdevumu finansēšanas plāns</w:t>
      </w:r>
      <w:r>
        <w:rPr>
          <w:rFonts w:ascii="Times New Roman" w:eastAsia="Calibri" w:hAnsi="Times New Roman" w:cs="Times New Roman"/>
          <w:i/>
          <w:sz w:val="24"/>
          <w:szCs w:val="24"/>
        </w:rPr>
        <w:t>,</w:t>
      </w:r>
      <w:r w:rsidR="00B44794">
        <w:rPr>
          <w:rFonts w:ascii="Times New Roman" w:eastAsia="Calibri" w:hAnsi="Times New Roman" w:cs="Times New Roman"/>
          <w:i/>
          <w:sz w:val="24"/>
          <w:szCs w:val="24"/>
        </w:rPr>
        <w:t xml:space="preserve"> </w:t>
      </w:r>
      <w:r w:rsidR="00B44794" w:rsidRPr="00D81772">
        <w:rPr>
          <w:rFonts w:ascii="Times New Roman" w:eastAsia="Calibri" w:hAnsi="Times New Roman" w:cs="Times New Roman"/>
          <w:i/>
          <w:sz w:val="24"/>
          <w:szCs w:val="24"/>
        </w:rPr>
        <w:t>1</w:t>
      </w:r>
      <w:r w:rsidRPr="00D81772">
        <w:rPr>
          <w:rFonts w:ascii="Times New Roman" w:eastAsia="Calibri" w:hAnsi="Times New Roman" w:cs="Times New Roman"/>
          <w:i/>
          <w:sz w:val="24"/>
          <w:szCs w:val="24"/>
        </w:rPr>
        <w:t>.</w:t>
      </w:r>
      <w:r w:rsidR="00B44794" w:rsidRPr="00D81772">
        <w:rPr>
          <w:rFonts w:ascii="Times New Roman" w:eastAsia="Calibri" w:hAnsi="Times New Roman" w:cs="Times New Roman"/>
          <w:i/>
          <w:sz w:val="24"/>
          <w:szCs w:val="24"/>
        </w:rPr>
        <w:t xml:space="preserve">pielikums, Kandavas </w:t>
      </w:r>
      <w:r w:rsidRPr="00D81772">
        <w:rPr>
          <w:rFonts w:ascii="Times New Roman" w:eastAsia="Calibri" w:hAnsi="Times New Roman" w:cs="Times New Roman"/>
          <w:i/>
          <w:sz w:val="24"/>
          <w:szCs w:val="24"/>
        </w:rPr>
        <w:t xml:space="preserve"> novada 201</w:t>
      </w:r>
      <w:r w:rsidR="00B44794" w:rsidRPr="00D81772">
        <w:rPr>
          <w:rFonts w:ascii="Times New Roman" w:eastAsia="Calibri" w:hAnsi="Times New Roman" w:cs="Times New Roman"/>
          <w:i/>
          <w:sz w:val="24"/>
          <w:szCs w:val="24"/>
        </w:rPr>
        <w:t>6</w:t>
      </w:r>
      <w:r w:rsidRPr="00D81772">
        <w:rPr>
          <w:rFonts w:ascii="Times New Roman" w:eastAsia="Calibri" w:hAnsi="Times New Roman" w:cs="Times New Roman"/>
          <w:i/>
          <w:sz w:val="24"/>
          <w:szCs w:val="24"/>
        </w:rPr>
        <w:t xml:space="preserve">.gada speciālā budžeta </w:t>
      </w:r>
      <w:r w:rsidR="00B44794" w:rsidRPr="00D81772">
        <w:rPr>
          <w:rFonts w:ascii="Times New Roman" w:eastAsia="Calibri" w:hAnsi="Times New Roman" w:cs="Times New Roman"/>
          <w:i/>
          <w:sz w:val="24"/>
          <w:szCs w:val="24"/>
        </w:rPr>
        <w:t>pl</w:t>
      </w:r>
      <w:r w:rsidRPr="00D81772">
        <w:rPr>
          <w:rFonts w:ascii="Times New Roman" w:eastAsia="Calibri" w:hAnsi="Times New Roman" w:cs="Times New Roman"/>
          <w:i/>
          <w:sz w:val="24"/>
          <w:szCs w:val="24"/>
        </w:rPr>
        <w:t>āns 2.</w:t>
      </w:r>
      <w:r w:rsidR="00B44794" w:rsidRPr="00D81772">
        <w:rPr>
          <w:rFonts w:ascii="Times New Roman" w:eastAsia="Calibri" w:hAnsi="Times New Roman" w:cs="Times New Roman"/>
          <w:i/>
          <w:sz w:val="24"/>
          <w:szCs w:val="24"/>
        </w:rPr>
        <w:t>pielikums</w:t>
      </w:r>
      <w:r w:rsidRPr="00D81772">
        <w:rPr>
          <w:rFonts w:ascii="Times New Roman" w:eastAsia="Calibri" w:hAnsi="Times New Roman" w:cs="Times New Roman"/>
          <w:i/>
          <w:sz w:val="24"/>
          <w:szCs w:val="24"/>
        </w:rPr>
        <w:t>.</w:t>
      </w:r>
    </w:p>
    <w:p w:rsidR="008807ED" w:rsidRPr="00E51FB8" w:rsidRDefault="008807ED" w:rsidP="008807ED">
      <w:pPr>
        <w:spacing w:after="0" w:line="240" w:lineRule="auto"/>
        <w:ind w:firstLine="720"/>
        <w:jc w:val="both"/>
        <w:rPr>
          <w:rFonts w:ascii="Times New Roman" w:eastAsia="Calibri" w:hAnsi="Times New Roman" w:cs="Times New Roman"/>
          <w:sz w:val="24"/>
          <w:szCs w:val="24"/>
        </w:rPr>
      </w:pPr>
    </w:p>
    <w:p w:rsidR="008807ED" w:rsidRPr="00E51FB8" w:rsidRDefault="008807ED" w:rsidP="008807ED">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i/>
          <w:sz w:val="24"/>
          <w:szCs w:val="24"/>
        </w:rPr>
        <w:t xml:space="preserve">3. </w:t>
      </w:r>
      <w:r w:rsidR="00647291">
        <w:rPr>
          <w:rFonts w:ascii="Times New Roman" w:eastAsia="Calibri" w:hAnsi="Times New Roman" w:cs="Times New Roman"/>
          <w:i/>
          <w:sz w:val="24"/>
          <w:szCs w:val="24"/>
        </w:rPr>
        <w:t xml:space="preserve">Kandavas novada domes atmaksājamās saistības par aizņēmumiem 2016.gadam </w:t>
      </w:r>
      <w:r w:rsidRPr="00D81772">
        <w:rPr>
          <w:rFonts w:ascii="Times New Roman" w:eastAsia="Calibri" w:hAnsi="Times New Roman" w:cs="Times New Roman"/>
          <w:i/>
          <w:sz w:val="24"/>
          <w:szCs w:val="24"/>
        </w:rPr>
        <w:t xml:space="preserve">parādītas </w:t>
      </w:r>
      <w:r w:rsidR="00647291" w:rsidRPr="00D81772">
        <w:rPr>
          <w:rFonts w:ascii="Times New Roman" w:eastAsia="Calibri" w:hAnsi="Times New Roman" w:cs="Times New Roman"/>
          <w:i/>
          <w:sz w:val="24"/>
          <w:szCs w:val="24"/>
        </w:rPr>
        <w:t xml:space="preserve"> </w:t>
      </w:r>
      <w:r w:rsidR="00D81772" w:rsidRPr="00D81772">
        <w:rPr>
          <w:rFonts w:ascii="Times New Roman" w:eastAsia="Calibri" w:hAnsi="Times New Roman" w:cs="Times New Roman"/>
          <w:i/>
          <w:sz w:val="24"/>
          <w:szCs w:val="24"/>
        </w:rPr>
        <w:t>1.1</w:t>
      </w:r>
      <w:r w:rsidR="00647291" w:rsidRPr="00D81772">
        <w:rPr>
          <w:rFonts w:ascii="Times New Roman" w:eastAsia="Calibri" w:hAnsi="Times New Roman" w:cs="Times New Roman"/>
          <w:i/>
          <w:sz w:val="24"/>
          <w:szCs w:val="24"/>
        </w:rPr>
        <w:t>.</w:t>
      </w:r>
      <w:r w:rsidRPr="00D81772">
        <w:rPr>
          <w:rFonts w:ascii="Times New Roman" w:eastAsia="Calibri" w:hAnsi="Times New Roman" w:cs="Times New Roman"/>
          <w:i/>
          <w:sz w:val="24"/>
          <w:szCs w:val="24"/>
        </w:rPr>
        <w:t xml:space="preserve">pielikumā </w:t>
      </w:r>
      <w:r w:rsidR="00647291" w:rsidRPr="00D81772">
        <w:rPr>
          <w:rFonts w:ascii="Times New Roman" w:eastAsia="Calibri" w:hAnsi="Times New Roman" w:cs="Times New Roman"/>
          <w:i/>
          <w:sz w:val="24"/>
          <w:szCs w:val="24"/>
        </w:rPr>
        <w:t>.</w:t>
      </w:r>
    </w:p>
    <w:p w:rsidR="008807ED" w:rsidRDefault="008807ED" w:rsidP="008807ED">
      <w:pPr>
        <w:spacing w:after="0" w:line="240" w:lineRule="auto"/>
        <w:ind w:firstLine="720"/>
        <w:jc w:val="both"/>
        <w:rPr>
          <w:rFonts w:ascii="Times New Roman" w:eastAsia="Calibri" w:hAnsi="Times New Roman" w:cs="Times New Roman"/>
          <w:i/>
          <w:sz w:val="24"/>
          <w:szCs w:val="24"/>
        </w:rPr>
      </w:pPr>
    </w:p>
    <w:p w:rsidR="008807ED" w:rsidRPr="00E51FB8" w:rsidRDefault="00647291" w:rsidP="008807ED">
      <w:pPr>
        <w:spacing w:after="0" w:line="240" w:lineRule="auto"/>
        <w:ind w:firstLine="720"/>
        <w:jc w:val="both"/>
        <w:rPr>
          <w:rFonts w:ascii="Times New Roman" w:eastAsia="Calibri" w:hAnsi="Times New Roman" w:cs="Times New Roman"/>
          <w:b/>
          <w:i/>
          <w:color w:val="FF0000"/>
          <w:sz w:val="24"/>
          <w:szCs w:val="24"/>
        </w:rPr>
      </w:pPr>
      <w:r>
        <w:rPr>
          <w:rFonts w:ascii="Times New Roman" w:eastAsia="Calibri" w:hAnsi="Times New Roman" w:cs="Times New Roman"/>
          <w:i/>
          <w:sz w:val="24"/>
          <w:szCs w:val="24"/>
        </w:rPr>
        <w:t>4. Kandavas</w:t>
      </w:r>
      <w:r w:rsidR="008807ED" w:rsidRPr="00E51FB8">
        <w:rPr>
          <w:rFonts w:ascii="Times New Roman" w:eastAsia="Calibri" w:hAnsi="Times New Roman" w:cs="Times New Roman"/>
          <w:i/>
          <w:sz w:val="24"/>
          <w:szCs w:val="24"/>
        </w:rPr>
        <w:t xml:space="preserve"> novada 201</w:t>
      </w:r>
      <w:r>
        <w:rPr>
          <w:rFonts w:ascii="Times New Roman" w:eastAsia="Calibri" w:hAnsi="Times New Roman" w:cs="Times New Roman"/>
          <w:i/>
          <w:sz w:val="24"/>
          <w:szCs w:val="24"/>
        </w:rPr>
        <w:t>6</w:t>
      </w:r>
      <w:r w:rsidR="008807ED" w:rsidRPr="00E51FB8">
        <w:rPr>
          <w:rFonts w:ascii="Times New Roman" w:eastAsia="Calibri" w:hAnsi="Times New Roman" w:cs="Times New Roman"/>
          <w:i/>
          <w:sz w:val="24"/>
          <w:szCs w:val="24"/>
        </w:rPr>
        <w:t>.gad</w:t>
      </w:r>
      <w:r>
        <w:rPr>
          <w:rFonts w:ascii="Times New Roman" w:eastAsia="Calibri" w:hAnsi="Times New Roman" w:cs="Times New Roman"/>
          <w:i/>
          <w:sz w:val="24"/>
          <w:szCs w:val="24"/>
        </w:rPr>
        <w:t>a</w:t>
      </w:r>
      <w:r w:rsidR="008807ED" w:rsidRPr="00E51FB8">
        <w:rPr>
          <w:rFonts w:ascii="Times New Roman" w:eastAsia="Calibri" w:hAnsi="Times New Roman" w:cs="Times New Roman"/>
          <w:i/>
          <w:sz w:val="24"/>
          <w:szCs w:val="24"/>
        </w:rPr>
        <w:t xml:space="preserve"> prioritātes.</w:t>
      </w:r>
    </w:p>
    <w:p w:rsidR="008807ED" w:rsidRPr="00E51FB8" w:rsidRDefault="00647291" w:rsidP="008807ED">
      <w:pPr>
        <w:spacing w:after="0" w:line="240" w:lineRule="auto"/>
        <w:jc w:val="both"/>
        <w:rPr>
          <w:rFonts w:ascii="Times New Roman" w:eastAsia="Times New Roman" w:hAnsi="Times New Roman" w:cs="Times New Roman"/>
          <w:b/>
          <w:bCs/>
          <w:color w:val="000000"/>
          <w:sz w:val="24"/>
          <w:szCs w:val="24"/>
          <w:lang w:eastAsia="lv-LV"/>
        </w:rPr>
      </w:pPr>
      <w:r>
        <w:rPr>
          <w:rFonts w:ascii="Times New Roman" w:eastAsia="Calibri" w:hAnsi="Times New Roman" w:cs="Times New Roman"/>
          <w:sz w:val="24"/>
          <w:szCs w:val="24"/>
        </w:rPr>
        <w:tab/>
        <w:t>Kandavas</w:t>
      </w:r>
      <w:r w:rsidR="008807ED" w:rsidRPr="00E51FB8">
        <w:rPr>
          <w:rFonts w:ascii="Times New Roman" w:eastAsia="Calibri" w:hAnsi="Times New Roman" w:cs="Times New Roman"/>
          <w:sz w:val="24"/>
          <w:szCs w:val="24"/>
        </w:rPr>
        <w:t xml:space="preserve"> novada </w:t>
      </w:r>
      <w:r>
        <w:rPr>
          <w:rFonts w:ascii="Times New Roman" w:eastAsia="Calibri" w:hAnsi="Times New Roman" w:cs="Times New Roman"/>
          <w:sz w:val="24"/>
          <w:szCs w:val="24"/>
        </w:rPr>
        <w:t>d</w:t>
      </w:r>
      <w:r w:rsidR="008807ED" w:rsidRPr="00E51FB8">
        <w:rPr>
          <w:rFonts w:ascii="Times New Roman" w:eastAsia="Calibri" w:hAnsi="Times New Roman" w:cs="Times New Roman"/>
          <w:sz w:val="24"/>
          <w:szCs w:val="24"/>
        </w:rPr>
        <w:t xml:space="preserve">ome </w:t>
      </w:r>
      <w:r>
        <w:rPr>
          <w:rFonts w:ascii="Times New Roman" w:eastAsia="Calibri" w:hAnsi="Times New Roman" w:cs="Times New Roman"/>
          <w:sz w:val="24"/>
          <w:szCs w:val="24"/>
        </w:rPr>
        <w:t xml:space="preserve">katru gadu nosaka galvenās </w:t>
      </w:r>
      <w:r w:rsidR="008807ED" w:rsidRPr="00E51FB8">
        <w:rPr>
          <w:rFonts w:ascii="Times New Roman" w:eastAsia="Calibri" w:hAnsi="Times New Roman" w:cs="Times New Roman"/>
          <w:sz w:val="24"/>
          <w:szCs w:val="24"/>
        </w:rPr>
        <w:t>gad</w:t>
      </w:r>
      <w:r>
        <w:rPr>
          <w:rFonts w:ascii="Times New Roman" w:eastAsia="Calibri" w:hAnsi="Times New Roman" w:cs="Times New Roman"/>
          <w:sz w:val="24"/>
          <w:szCs w:val="24"/>
        </w:rPr>
        <w:t>a</w:t>
      </w:r>
      <w:r w:rsidR="008807ED" w:rsidRPr="00E51FB8">
        <w:rPr>
          <w:rFonts w:ascii="Times New Roman" w:eastAsia="Calibri" w:hAnsi="Times New Roman" w:cs="Times New Roman"/>
          <w:sz w:val="24"/>
          <w:szCs w:val="24"/>
        </w:rPr>
        <w:t xml:space="preserve"> prioritātes</w:t>
      </w:r>
      <w:r>
        <w:rPr>
          <w:rFonts w:ascii="Times New Roman" w:eastAsia="Calibri" w:hAnsi="Times New Roman" w:cs="Times New Roman"/>
          <w:sz w:val="24"/>
          <w:szCs w:val="24"/>
        </w:rPr>
        <w:t>.</w:t>
      </w:r>
      <w:r w:rsidR="008807ED" w:rsidRPr="00E51FB8">
        <w:rPr>
          <w:rFonts w:ascii="Times New Roman" w:eastAsia="Calibri" w:hAnsi="Times New Roman" w:cs="Times New Roman"/>
          <w:sz w:val="24"/>
          <w:szCs w:val="24"/>
        </w:rPr>
        <w:t xml:space="preserve"> Pie budžeta ieņēm</w:t>
      </w:r>
      <w:r>
        <w:rPr>
          <w:rFonts w:ascii="Times New Roman" w:eastAsia="Calibri" w:hAnsi="Times New Roman" w:cs="Times New Roman"/>
          <w:sz w:val="24"/>
          <w:szCs w:val="24"/>
        </w:rPr>
        <w:t>umu palielināšanas deputāti ar d</w:t>
      </w:r>
      <w:r w:rsidR="008807ED" w:rsidRPr="00E51FB8">
        <w:rPr>
          <w:rFonts w:ascii="Times New Roman" w:eastAsia="Calibri" w:hAnsi="Times New Roman" w:cs="Times New Roman"/>
          <w:sz w:val="24"/>
          <w:szCs w:val="24"/>
        </w:rPr>
        <w:t>omes lēmumu veic budžeta grozījumus par finansējuma piešķiršanu kādai no prioritātēm.</w:t>
      </w:r>
    </w:p>
    <w:p w:rsidR="008807ED" w:rsidRDefault="008807ED" w:rsidP="008807ED">
      <w:pPr>
        <w:spacing w:after="0" w:line="240" w:lineRule="auto"/>
        <w:rPr>
          <w:rFonts w:ascii="Times New Roman" w:eastAsia="Times New Roman" w:hAnsi="Times New Roman" w:cs="Times New Roman"/>
          <w:sz w:val="24"/>
          <w:szCs w:val="20"/>
          <w:lang w:val="de-DE" w:eastAsia="lv-LV"/>
        </w:rPr>
      </w:pPr>
    </w:p>
    <w:p w:rsidR="008807ED" w:rsidRDefault="008807ED" w:rsidP="008807ED">
      <w:pPr>
        <w:spacing w:after="0" w:line="240" w:lineRule="auto"/>
        <w:rPr>
          <w:rFonts w:ascii="Times New Roman" w:eastAsia="Times New Roman" w:hAnsi="Times New Roman" w:cs="Times New Roman"/>
          <w:sz w:val="24"/>
          <w:szCs w:val="20"/>
          <w:lang w:val="de-DE" w:eastAsia="lv-LV"/>
        </w:rPr>
      </w:pPr>
    </w:p>
    <w:p w:rsidR="008807ED" w:rsidRPr="003D6B09" w:rsidRDefault="005C5623" w:rsidP="008807ED">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Kandavas novada d</w:t>
      </w:r>
      <w:r w:rsidR="00D27EFD">
        <w:rPr>
          <w:rFonts w:ascii="Times New Roman" w:eastAsia="Times New Roman" w:hAnsi="Times New Roman" w:cs="Times New Roman"/>
          <w:sz w:val="24"/>
          <w:szCs w:val="24"/>
          <w:lang w:eastAsia="da-DK"/>
        </w:rPr>
        <w:t xml:space="preserve">omes priekšsēdētājs (personiskais paraksts)  </w:t>
      </w:r>
      <w:bookmarkStart w:id="0" w:name="_GoBack"/>
      <w:bookmarkEnd w:id="0"/>
      <w:r w:rsidR="009822CB">
        <w:rPr>
          <w:rFonts w:ascii="Times New Roman" w:eastAsia="Times New Roman" w:hAnsi="Times New Roman" w:cs="Times New Roman"/>
          <w:sz w:val="24"/>
          <w:szCs w:val="24"/>
          <w:lang w:eastAsia="da-DK"/>
        </w:rPr>
        <w:t xml:space="preserve"> </w:t>
      </w:r>
      <w:proofErr w:type="spellStart"/>
      <w:r w:rsidR="00647291">
        <w:rPr>
          <w:rFonts w:ascii="Times New Roman" w:eastAsia="Times New Roman" w:hAnsi="Times New Roman" w:cs="Times New Roman"/>
          <w:sz w:val="24"/>
          <w:szCs w:val="24"/>
          <w:lang w:eastAsia="da-DK"/>
        </w:rPr>
        <w:t>N.Štoferts</w:t>
      </w:r>
      <w:proofErr w:type="spellEnd"/>
    </w:p>
    <w:p w:rsidR="008807ED" w:rsidRDefault="008807ED" w:rsidP="008807ED">
      <w:pPr>
        <w:spacing w:after="0" w:line="240" w:lineRule="auto"/>
        <w:jc w:val="both"/>
        <w:rPr>
          <w:rFonts w:ascii="Times New Roman" w:eastAsia="Calibri" w:hAnsi="Times New Roman" w:cs="Times New Roman"/>
          <w:sz w:val="24"/>
          <w:szCs w:val="24"/>
        </w:rPr>
      </w:pPr>
    </w:p>
    <w:p w:rsidR="005A2942" w:rsidRDefault="005A2942" w:rsidP="008807ED"/>
    <w:sectPr w:rsidR="005A2942" w:rsidSect="00D8177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D"/>
    <w:rsid w:val="00101FD0"/>
    <w:rsid w:val="00192028"/>
    <w:rsid w:val="001D0D77"/>
    <w:rsid w:val="00215084"/>
    <w:rsid w:val="00247B58"/>
    <w:rsid w:val="003805AE"/>
    <w:rsid w:val="003A2C05"/>
    <w:rsid w:val="00434BF8"/>
    <w:rsid w:val="00473EA2"/>
    <w:rsid w:val="004E49C6"/>
    <w:rsid w:val="00513CE6"/>
    <w:rsid w:val="00570B5A"/>
    <w:rsid w:val="00571D38"/>
    <w:rsid w:val="00593141"/>
    <w:rsid w:val="005A2942"/>
    <w:rsid w:val="005B3B26"/>
    <w:rsid w:val="005C5623"/>
    <w:rsid w:val="005F54F5"/>
    <w:rsid w:val="00610321"/>
    <w:rsid w:val="006346F0"/>
    <w:rsid w:val="00644910"/>
    <w:rsid w:val="00647291"/>
    <w:rsid w:val="006B3269"/>
    <w:rsid w:val="006F1DC5"/>
    <w:rsid w:val="00737348"/>
    <w:rsid w:val="00786957"/>
    <w:rsid w:val="007C3D61"/>
    <w:rsid w:val="007D407D"/>
    <w:rsid w:val="008114B0"/>
    <w:rsid w:val="00835044"/>
    <w:rsid w:val="008807ED"/>
    <w:rsid w:val="008C5016"/>
    <w:rsid w:val="0090140B"/>
    <w:rsid w:val="009073C7"/>
    <w:rsid w:val="009430A0"/>
    <w:rsid w:val="009723B5"/>
    <w:rsid w:val="009822CB"/>
    <w:rsid w:val="009D546C"/>
    <w:rsid w:val="00A4457B"/>
    <w:rsid w:val="00A50B66"/>
    <w:rsid w:val="00A6534C"/>
    <w:rsid w:val="00AB0943"/>
    <w:rsid w:val="00AF66B6"/>
    <w:rsid w:val="00AF681B"/>
    <w:rsid w:val="00B44794"/>
    <w:rsid w:val="00B46490"/>
    <w:rsid w:val="00BC103B"/>
    <w:rsid w:val="00BC300B"/>
    <w:rsid w:val="00BC4870"/>
    <w:rsid w:val="00BE3FCE"/>
    <w:rsid w:val="00C25D24"/>
    <w:rsid w:val="00CE72E8"/>
    <w:rsid w:val="00D27EFD"/>
    <w:rsid w:val="00D81772"/>
    <w:rsid w:val="00DF74D3"/>
    <w:rsid w:val="00E50A96"/>
    <w:rsid w:val="00F507CF"/>
    <w:rsid w:val="00F676DE"/>
    <w:rsid w:val="00FB3D53"/>
    <w:rsid w:val="00FB47C7"/>
    <w:rsid w:val="00FF4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57F00-1D97-443D-9AEB-16E95AA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07E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3269"/>
    <w:pPr>
      <w:ind w:left="720"/>
      <w:contextualSpacing/>
    </w:pPr>
  </w:style>
  <w:style w:type="paragraph" w:styleId="Balonteksts">
    <w:name w:val="Balloon Text"/>
    <w:basedOn w:val="Parasts"/>
    <w:link w:val="BalontekstsRakstz"/>
    <w:uiPriority w:val="99"/>
    <w:semiHidden/>
    <w:unhideWhenUsed/>
    <w:rsid w:val="009822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2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Pt>
            <c:idx val="0"/>
            <c:bubble3D val="0"/>
            <c:spPr>
              <a:solidFill>
                <a:schemeClr val="accent1"/>
              </a:solidFill>
              <a:ln>
                <a:noFill/>
              </a:ln>
              <a:effectLst/>
              <a:sp3d/>
            </c:spPr>
          </c:dPt>
          <c:dPt>
            <c:idx val="1"/>
            <c:bubble3D val="0"/>
            <c:spPr>
              <a:solidFill>
                <a:schemeClr val="accent2"/>
              </a:solidFill>
              <a:ln>
                <a:noFill/>
              </a:ln>
              <a:effectLst/>
              <a:sp3d/>
            </c:spPr>
          </c:dPt>
          <c:dPt>
            <c:idx val="2"/>
            <c:bubble3D val="0"/>
            <c:spPr>
              <a:solidFill>
                <a:schemeClr val="accent3"/>
              </a:solidFill>
              <a:ln>
                <a:noFill/>
              </a:ln>
              <a:effectLst/>
              <a:sp3d/>
            </c:spPr>
          </c:dPt>
          <c:dPt>
            <c:idx val="3"/>
            <c:bubble3D val="0"/>
            <c:spPr>
              <a:solidFill>
                <a:schemeClr val="accent4"/>
              </a:solidFill>
              <a:ln>
                <a:noFill/>
              </a:ln>
              <a:effectLst/>
              <a:sp3d/>
            </c:spPr>
          </c:dPt>
          <c:dPt>
            <c:idx val="4"/>
            <c:bubble3D val="0"/>
            <c:spPr>
              <a:solidFill>
                <a:schemeClr val="accent5"/>
              </a:solidFill>
              <a:ln>
                <a:noFill/>
              </a:ln>
              <a:effectLst/>
              <a:sp3d/>
            </c:spPr>
          </c:dPt>
          <c:dPt>
            <c:idx val="5"/>
            <c:bubble3D val="0"/>
            <c:spPr>
              <a:solidFill>
                <a:schemeClr val="accent6"/>
              </a:solidFill>
              <a:ln>
                <a:noFill/>
              </a:ln>
              <a:effectLst/>
              <a:sp3d/>
            </c:spPr>
          </c:dPt>
          <c:dLbls>
            <c:dLbl>
              <c:idx val="1"/>
              <c:layout>
                <c:manualLayout>
                  <c:x val="4.7144589521246789E-2"/>
                  <c:y val="-7.9533799533799923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9.6473387820193199E-2"/>
                  <c:y val="-0.31044289044289247"/>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0341074454300807"/>
                  <c:y val="-7.7342657342657342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1.3361241237250495E-2"/>
                  <c:y val="0"/>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lv-LV"/>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Sheet1!$A$2:$A$7</c:f>
              <c:strCache>
                <c:ptCount val="6"/>
                <c:pt idx="0">
                  <c:v>Iedzīvotāju ienākuma nodoklis</c:v>
                </c:pt>
                <c:pt idx="1">
                  <c:v>Īpašuma nodokļi</c:v>
                </c:pt>
                <c:pt idx="2">
                  <c:v>Nenodokļu ienākumi</c:v>
                </c:pt>
                <c:pt idx="3">
                  <c:v>Maksas pakalpojumi</c:v>
                </c:pt>
                <c:pt idx="4">
                  <c:v>Valsts budžeta transferti</c:v>
                </c:pt>
                <c:pt idx="5">
                  <c:v>Pašvaldību budžetu transferti</c:v>
                </c:pt>
              </c:strCache>
            </c:strRef>
          </c:cat>
          <c:val>
            <c:numRef>
              <c:f>Sheet1!$B$2:$B$7</c:f>
              <c:numCache>
                <c:formatCode>General</c:formatCode>
                <c:ptCount val="6"/>
                <c:pt idx="0">
                  <c:v>3382072</c:v>
                </c:pt>
                <c:pt idx="1">
                  <c:v>551421</c:v>
                </c:pt>
                <c:pt idx="2">
                  <c:v>74500</c:v>
                </c:pt>
                <c:pt idx="3">
                  <c:v>257425</c:v>
                </c:pt>
                <c:pt idx="4" formatCode="#,##0">
                  <c:v>4057089</c:v>
                </c:pt>
                <c:pt idx="5">
                  <c:v>173647</c:v>
                </c:pt>
              </c:numCache>
            </c:numRef>
          </c:val>
        </c:ser>
        <c:dLbls>
          <c:showLegendKey val="0"/>
          <c:showVal val="0"/>
          <c:showCatName val="1"/>
          <c:showSerName val="0"/>
          <c:showPercent val="1"/>
          <c:showBubbleSize val="0"/>
          <c:showLeaderLines val="0"/>
        </c:dLbls>
      </c:pie3DChart>
      <c:spPr>
        <a:noFill/>
        <a:ln>
          <a:noFill/>
        </a:ln>
        <a:effectLst/>
      </c:spPr>
    </c:plotArea>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7626383658564543E-3"/>
          <c:w val="1"/>
          <c:h val="0.95475908696324485"/>
        </c:manualLayout>
      </c:layout>
      <c:pie3DChart>
        <c:varyColors val="1"/>
        <c:ser>
          <c:idx val="0"/>
          <c:order val="0"/>
          <c:tx>
            <c:strRef>
              <c:f>Sheet1!$B$1</c:f>
              <c:strCache>
                <c:ptCount val="1"/>
                <c:pt idx="0">
                  <c:v>Sales</c:v>
                </c:pt>
              </c:strCache>
            </c:strRef>
          </c:tx>
          <c:explosion val="25"/>
          <c:dPt>
            <c:idx val="0"/>
            <c:bubble3D val="0"/>
            <c:spPr>
              <a:solidFill>
                <a:schemeClr val="accent2"/>
              </a:solidFill>
              <a:ln>
                <a:noFill/>
              </a:ln>
              <a:effectLst/>
              <a:sp3d/>
            </c:spPr>
          </c:dPt>
          <c:dPt>
            <c:idx val="1"/>
            <c:bubble3D val="0"/>
            <c:spPr>
              <a:solidFill>
                <a:schemeClr val="accent4"/>
              </a:solidFill>
              <a:ln>
                <a:noFill/>
              </a:ln>
              <a:effectLst/>
              <a:sp3d/>
            </c:spPr>
          </c:dPt>
          <c:dPt>
            <c:idx val="2"/>
            <c:bubble3D val="0"/>
            <c:spPr>
              <a:solidFill>
                <a:schemeClr val="accent6"/>
              </a:solidFill>
              <a:ln>
                <a:noFill/>
              </a:ln>
              <a:effectLst/>
              <a:sp3d/>
            </c:spPr>
          </c:dPt>
          <c:dPt>
            <c:idx val="3"/>
            <c:bubble3D val="0"/>
            <c:spPr>
              <a:solidFill>
                <a:schemeClr val="accent2">
                  <a:lumMod val="60000"/>
                </a:schemeClr>
              </a:solidFill>
              <a:ln>
                <a:noFill/>
              </a:ln>
              <a:effectLst/>
              <a:sp3d/>
            </c:spPr>
          </c:dPt>
          <c:dPt>
            <c:idx val="4"/>
            <c:bubble3D val="0"/>
            <c:spPr>
              <a:solidFill>
                <a:schemeClr val="accent4">
                  <a:lumMod val="60000"/>
                </a:schemeClr>
              </a:solidFill>
              <a:ln>
                <a:noFill/>
              </a:ln>
              <a:effectLst/>
              <a:sp3d/>
            </c:spPr>
          </c:dPt>
          <c:dPt>
            <c:idx val="5"/>
            <c:bubble3D val="0"/>
            <c:spPr>
              <a:solidFill>
                <a:schemeClr val="accent6">
                  <a:lumMod val="60000"/>
                </a:schemeClr>
              </a:solidFill>
              <a:ln>
                <a:noFill/>
              </a:ln>
              <a:effectLst/>
              <a:sp3d/>
            </c:spPr>
          </c:dPt>
          <c:dPt>
            <c:idx val="6"/>
            <c:bubble3D val="0"/>
            <c:spPr>
              <a:solidFill>
                <a:schemeClr val="accent2">
                  <a:lumMod val="80000"/>
                  <a:lumOff val="20000"/>
                </a:schemeClr>
              </a:solidFill>
              <a:ln>
                <a:noFill/>
              </a:ln>
              <a:effectLst/>
              <a:sp3d/>
            </c:spPr>
          </c:dPt>
          <c:dPt>
            <c:idx val="7"/>
            <c:bubble3D val="0"/>
            <c:spPr>
              <a:solidFill>
                <a:schemeClr val="accent4">
                  <a:lumMod val="80000"/>
                  <a:lumOff val="20000"/>
                </a:schemeClr>
              </a:solidFill>
              <a:ln>
                <a:noFill/>
              </a:ln>
              <a:effectLst/>
              <a:sp3d/>
            </c:spPr>
          </c:dPt>
          <c:dPt>
            <c:idx val="8"/>
            <c:bubble3D val="0"/>
            <c:explosion val="7"/>
            <c:spPr>
              <a:solidFill>
                <a:schemeClr val="accent6">
                  <a:lumMod val="80000"/>
                  <a:lumOff val="20000"/>
                </a:schemeClr>
              </a:solidFill>
              <a:ln>
                <a:noFill/>
              </a:ln>
              <a:effectLst/>
              <a:sp3d/>
            </c:spPr>
          </c:dPt>
          <c:dPt>
            <c:idx val="9"/>
            <c:bubble3D val="0"/>
            <c:spPr>
              <a:solidFill>
                <a:schemeClr val="accent2">
                  <a:lumMod val="80000"/>
                </a:schemeClr>
              </a:solidFill>
              <a:ln>
                <a:noFill/>
              </a:ln>
              <a:effectLst/>
              <a:sp3d/>
            </c:spPr>
          </c:dPt>
          <c:dLbls>
            <c:dLbl>
              <c:idx val="0"/>
              <c:layout>
                <c:manualLayout>
                  <c:x val="-0.12584391951006124"/>
                  <c:y val="7.2463768115942344E-4"/>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1442747156605426"/>
                  <c:y val="0.13623188405797157"/>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9.7762510309735845E-2"/>
                  <c:y val="-6.0202506602461799E-2"/>
                </c:manualLayout>
              </c:layout>
              <c:showLegendKey val="0"/>
              <c:showVal val="1"/>
              <c:showCatName val="1"/>
              <c:showSerName val="0"/>
              <c:showPercent val="1"/>
              <c:showBubbleSize val="0"/>
              <c:extLst>
                <c:ext xmlns:c15="http://schemas.microsoft.com/office/drawing/2012/chart" uri="{CE6537A1-D6FC-4f65-9D91-7224C49458BB}">
                  <c15:layout>
                    <c:manualLayout>
                      <c:w val="0.19649396325459317"/>
                      <c:h val="0.10043478260869564"/>
                    </c:manualLayout>
                  </c15:layout>
                </c:ext>
              </c:extLst>
            </c:dLbl>
            <c:dLbl>
              <c:idx val="3"/>
              <c:layout>
                <c:manualLayout>
                  <c:x val="7.5503190923477084E-2"/>
                  <c:y val="4.0203253170581495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7.4005494405385924E-2"/>
                  <c:y val="0.10684117696464072"/>
                </c:manualLayout>
              </c:layou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12222222222222262"/>
                  <c:y val="0.28732808398950377"/>
                </c:manualLayout>
              </c:layout>
              <c:showLegendKey val="0"/>
              <c:showVal val="1"/>
              <c:showCatName val="1"/>
              <c:showSerName val="0"/>
              <c:showPercent val="1"/>
              <c:showBubbleSize val="0"/>
              <c:extLst>
                <c:ext xmlns:c15="http://schemas.microsoft.com/office/drawing/2012/chart" uri="{CE6537A1-D6FC-4f65-9D91-7224C49458BB}">
                  <c15:layout>
                    <c:manualLayout>
                      <c:w val="0.31662222222222219"/>
                      <c:h val="0.1310144927536232"/>
                    </c:manualLayout>
                  </c15:layout>
                </c:ext>
              </c:extLst>
            </c:dLbl>
            <c:dLbl>
              <c:idx val="6"/>
              <c:layout>
                <c:manualLayout>
                  <c:x val="3.7475186520487492E-3"/>
                  <c:y val="0.16033483580167421"/>
                </c:manualLayout>
              </c:layout>
              <c:tx>
                <c:rich>
                  <a:bodyPr/>
                  <a:lstStyle/>
                  <a:p>
                    <a:r>
                      <a:rPr lang="en-US"/>
                      <a:t>Veselība
15000</a:t>
                    </a:r>
                  </a:p>
                </c:rich>
              </c:tx>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0.1188372703412075"/>
                  <c:y val="-0.27776925710373163"/>
                </c:manualLayout>
              </c:layout>
              <c:tx>
                <c:rich>
                  <a:bodyPr/>
                  <a:lstStyle/>
                  <a:p>
                    <a:r>
                      <a:rPr lang="en-US" sz="900" baseline="0" dirty="0" smtClean="0"/>
                      <a:t>NVO, kultūra un sports</a:t>
                    </a:r>
                    <a:r>
                      <a:rPr lang="en-US" sz="900" dirty="0"/>
                      <a:t>
1156683
13%</a:t>
                    </a:r>
                  </a:p>
                </c:rich>
              </c:tx>
              <c:showLegendKey val="0"/>
              <c:showVal val="1"/>
              <c:showCatName val="1"/>
              <c:showSerName val="0"/>
              <c:showPercent val="1"/>
              <c:showBubbleSize val="0"/>
              <c:extLst>
                <c:ext xmlns:c15="http://schemas.microsoft.com/office/drawing/2012/chart" uri="{CE6537A1-D6FC-4f65-9D91-7224C49458BB}">
                  <c15:layout>
                    <c:manualLayout>
                      <c:w val="0.25564444444444445"/>
                      <c:h val="0.1310144927536232"/>
                    </c:manualLayout>
                  </c15:layout>
                </c:ext>
              </c:extLst>
            </c:dLbl>
            <c:dLbl>
              <c:idx val="9"/>
              <c:layout>
                <c:manualLayout>
                  <c:x val="-5.4974278215223112E-2"/>
                  <c:y val="6.0559853931302067E-2"/>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Cambria" pitchFamily="18" charset="0"/>
                    <a:ea typeface="+mn-ea"/>
                    <a:cs typeface="+mn-cs"/>
                  </a:defRPr>
                </a:pPr>
                <a:endParaRPr lang="lv-LV"/>
              </a:p>
            </c:txPr>
            <c:showLegendKey val="0"/>
            <c:showVal val="1"/>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15:layout/>
              </c:ext>
            </c:extLst>
          </c:dLbls>
          <c:cat>
            <c:strRef>
              <c:f>Sheet1!$A$2:$A$11</c:f>
              <c:strCache>
                <c:ptCount val="10"/>
                <c:pt idx="0">
                  <c:v>Pārvalde</c:v>
                </c:pt>
                <c:pt idx="1">
                  <c:v>Procentu maksājumi par aizņēmumiem</c:v>
                </c:pt>
                <c:pt idx="2">
                  <c:v>Sabiedriskā kārtība un drošība</c:v>
                </c:pt>
                <c:pt idx="3">
                  <c:v>Ekonomiskā darbība</c:v>
                </c:pt>
                <c:pt idx="4">
                  <c:v>Vides aizsardzība</c:v>
                </c:pt>
                <c:pt idx="5">
                  <c:v>Teritoriju un mājokļu apsaimniekošana</c:v>
                </c:pt>
                <c:pt idx="6">
                  <c:v>Veselība</c:v>
                </c:pt>
                <c:pt idx="7">
                  <c:v>Atpūta un kultūra</c:v>
                </c:pt>
                <c:pt idx="8">
                  <c:v>Izglītība</c:v>
                </c:pt>
                <c:pt idx="9">
                  <c:v>Sociālā aizsardzība</c:v>
                </c:pt>
              </c:strCache>
            </c:strRef>
          </c:cat>
          <c:val>
            <c:numRef>
              <c:f>Sheet1!$B$2:$B$11</c:f>
              <c:numCache>
                <c:formatCode>#,##0</c:formatCode>
                <c:ptCount val="10"/>
                <c:pt idx="0">
                  <c:v>553790</c:v>
                </c:pt>
                <c:pt idx="1">
                  <c:v>66500</c:v>
                </c:pt>
                <c:pt idx="2">
                  <c:v>153453</c:v>
                </c:pt>
                <c:pt idx="3">
                  <c:v>290106</c:v>
                </c:pt>
                <c:pt idx="4">
                  <c:v>293550</c:v>
                </c:pt>
                <c:pt idx="5">
                  <c:v>1264472</c:v>
                </c:pt>
                <c:pt idx="6">
                  <c:v>15000</c:v>
                </c:pt>
                <c:pt idx="7">
                  <c:v>1156683</c:v>
                </c:pt>
                <c:pt idx="8">
                  <c:v>4214677</c:v>
                </c:pt>
                <c:pt idx="9">
                  <c:v>893785</c:v>
                </c:pt>
              </c:numCache>
            </c:numRef>
          </c:val>
        </c:ser>
        <c:dLbls>
          <c:showLegendKey val="0"/>
          <c:showVal val="0"/>
          <c:showCatName val="0"/>
          <c:showSerName val="0"/>
          <c:showPercent val="0"/>
          <c:showBubbleSize val="0"/>
          <c:showLeaderLines val="1"/>
        </c:dLbls>
      </c:pie3DChart>
      <c:spPr>
        <a:noFill/>
        <a:ln w="25400">
          <a:noFill/>
        </a:ln>
        <a:effectLst/>
      </c:spPr>
    </c:plotArea>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sz="1800"/>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E278-5353-431C-873C-538225F2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8002</Words>
  <Characters>4562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Anita</cp:lastModifiedBy>
  <cp:revision>12</cp:revision>
  <cp:lastPrinted>2016-01-28T09:32:00Z</cp:lastPrinted>
  <dcterms:created xsi:type="dcterms:W3CDTF">2016-01-27T15:14:00Z</dcterms:created>
  <dcterms:modified xsi:type="dcterms:W3CDTF">2016-02-02T07:22:00Z</dcterms:modified>
</cp:coreProperties>
</file>