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4C2317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Kandavas novada Izglītības pārvaldes pakļautībā esošo izglītības iestāžu telpu vienkāršotā atjaunošana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4C2317">
        <w:rPr>
          <w:rFonts w:ascii="Times New Roman" w:hAnsi="Times New Roman"/>
          <w:b/>
          <w:bCs/>
          <w:sz w:val="24"/>
          <w:szCs w:val="24"/>
        </w:rPr>
        <w:t>11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29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>.maijā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C2317">
        <w:rPr>
          <w:rFonts w:ascii="Times New Roman" w:hAnsi="Times New Roman"/>
          <w:b/>
          <w:sz w:val="24"/>
          <w:szCs w:val="24"/>
        </w:rPr>
        <w:t xml:space="preserve"> 2017/11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672A" w:rsidRDefault="004C2317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1.daļa.Kandavas Kārļa Mīlenbaha vidusskolas bibliotēkas telpas vienkāršotā atjaunošana par konfereču telpu</w:t>
      </w:r>
      <w:r w:rsidR="00FC672A">
        <w:rPr>
          <w:rFonts w:ascii="Times New Roman" w:hAnsi="Times New Roman"/>
          <w:sz w:val="24"/>
          <w:szCs w:val="24"/>
        </w:rPr>
        <w:t>.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nosaukums, reģ. Nr., adrese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</w:t>
            </w:r>
            <w:r w:rsidR="00AE1EAB">
              <w:rPr>
                <w:rFonts w:ascii="Times New Roman" w:hAnsi="Times New Roman"/>
                <w:sz w:val="24"/>
                <w:szCs w:val="24"/>
              </w:rPr>
              <w:t xml:space="preserve">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“M un V”, reģ. Nr. 40003150841, Jelgavas iela 1b, Kandava, Kandavas novads, LV-3120</w:t>
            </w:r>
          </w:p>
        </w:tc>
        <w:tc>
          <w:tcPr>
            <w:tcW w:w="2126" w:type="dxa"/>
            <w:vAlign w:val="center"/>
          </w:tcPr>
          <w:p w:rsidR="00AE1EAB" w:rsidRPr="004E7230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29 872,05</w:t>
            </w:r>
          </w:p>
        </w:tc>
      </w:tr>
    </w:tbl>
    <w:p w:rsidR="00FC672A" w:rsidRPr="00415991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72A" w:rsidRDefault="004C2317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2.daļa. Kandavas Kārļa Mīlenbaha vidusskolas 2. un 3. stāva vīriešu tualešu telpu vienkāršotā atjaunošana</w:t>
      </w:r>
      <w:r w:rsidR="00FC672A">
        <w:rPr>
          <w:rFonts w:ascii="Times New Roman" w:eastAsia="Times New Roman" w:hAnsi="Times New Roman"/>
          <w:b/>
          <w:snapToGrid w:val="0"/>
          <w:sz w:val="24"/>
          <w:lang w:eastAsia="lv-LV"/>
        </w:rPr>
        <w:t>.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Pr="004E7230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 w:rsidRPr="004E7230">
              <w:rPr>
                <w:rFonts w:ascii="Times New Roman" w:eastAsia="Times New Roman" w:hAnsi="Times New Roman"/>
                <w:snapToGrid w:val="0"/>
                <w:sz w:val="24"/>
              </w:rPr>
              <w:t>Nr.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 </w:t>
            </w:r>
            <w:r w:rsidRPr="004E7230">
              <w:rPr>
                <w:rFonts w:ascii="Times New Roman" w:eastAsia="Times New Roman" w:hAnsi="Times New Roman"/>
                <w:snapToGrid w:val="0"/>
                <w:sz w:val="24"/>
              </w:rPr>
              <w:t>p.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 </w:t>
            </w:r>
            <w:r w:rsidRPr="004E7230">
              <w:rPr>
                <w:rFonts w:ascii="Times New Roman" w:eastAsia="Times New Roman" w:hAnsi="Times New Roman"/>
                <w:snapToGrid w:val="0"/>
                <w:sz w:val="24"/>
              </w:rPr>
              <w:t>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nosaukums, reģ. Nr., adrese</w:t>
            </w:r>
          </w:p>
        </w:tc>
        <w:tc>
          <w:tcPr>
            <w:tcW w:w="2126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Līgumcena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Pr="004E7230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Pr="000045B3" w:rsidRDefault="004C2317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“M un V”, reģ. Nr. 40003150841, Jelgavas iela 1b, Kandava, Kandavas novads, LV-3120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</w:rPr>
              <w:t>40 848,24</w:t>
            </w:r>
          </w:p>
        </w:tc>
      </w:tr>
    </w:tbl>
    <w:p w:rsidR="00FC672A" w:rsidRDefault="00FC672A" w:rsidP="00FC672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p w:rsidR="00FC672A" w:rsidRDefault="00FC672A" w:rsidP="00FC672A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3.da</w:t>
      </w:r>
      <w:r w:rsidR="004C2317">
        <w:rPr>
          <w:rFonts w:ascii="Times New Roman" w:eastAsia="Times New Roman" w:hAnsi="Times New Roman"/>
          <w:b/>
          <w:snapToGrid w:val="0"/>
          <w:sz w:val="24"/>
          <w:lang w:eastAsia="lv-LV"/>
        </w:rPr>
        <w:t>ļa. Vānes pamatskolas meiteņu un zēnu tualešu renovācija</w:t>
      </w:r>
      <w:r>
        <w:rPr>
          <w:rFonts w:ascii="Times New Roman" w:eastAsia="Times New Roman" w:hAnsi="Times New Roman"/>
          <w:b/>
          <w:snapToGrid w:val="0"/>
          <w:sz w:val="24"/>
          <w:lang w:eastAsia="lv-LV"/>
        </w:rPr>
        <w:t>.</w:t>
      </w:r>
    </w:p>
    <w:p w:rsidR="00FC672A" w:rsidRDefault="00FC672A" w:rsidP="00FC672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lang w:eastAsia="lv-LV"/>
        </w:rPr>
      </w:pP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72"/>
        <w:gridCol w:w="6003"/>
        <w:gridCol w:w="2126"/>
      </w:tblGrid>
      <w:tr w:rsidR="00AE1EAB" w:rsidTr="004C6C40">
        <w:tc>
          <w:tcPr>
            <w:tcW w:w="97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Nr. p. k.</w:t>
            </w:r>
          </w:p>
        </w:tc>
        <w:tc>
          <w:tcPr>
            <w:tcW w:w="6003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Pretendenta nosaukums, reģ. Nr., adrese</w:t>
            </w:r>
          </w:p>
        </w:tc>
        <w:tc>
          <w:tcPr>
            <w:tcW w:w="2126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Līgumcena (EUR bez PVN)</w:t>
            </w:r>
          </w:p>
        </w:tc>
      </w:tr>
      <w:tr w:rsidR="00AE1EAB" w:rsidTr="004C6C40">
        <w:tc>
          <w:tcPr>
            <w:tcW w:w="97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>1.</w:t>
            </w:r>
          </w:p>
        </w:tc>
        <w:tc>
          <w:tcPr>
            <w:tcW w:w="6003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</w:rPr>
              <w:t xml:space="preserve">SIA “Kandavas ceļi”, reģ. Nr.50002078101, </w:t>
            </w:r>
            <w:r w:rsidR="00F33C0C">
              <w:rPr>
                <w:rFonts w:ascii="Times New Roman" w:eastAsia="Times New Roman" w:hAnsi="Times New Roman"/>
                <w:snapToGrid w:val="0"/>
                <w:sz w:val="24"/>
              </w:rPr>
              <w:t xml:space="preserve">     </w:t>
            </w:r>
            <w:r w:rsidR="00F33C0C">
              <w:t xml:space="preserve">      </w:t>
            </w:r>
            <w:r>
              <w:rPr>
                <w:rFonts w:ascii="Times New Roman" w:eastAsia="Times New Roman" w:hAnsi="Times New Roman"/>
                <w:snapToGrid w:val="0"/>
                <w:sz w:val="24"/>
              </w:rPr>
              <w:t>Raudupes iela 1, Kan</w:t>
            </w:r>
            <w:r w:rsidR="00F33C0C">
              <w:rPr>
                <w:rFonts w:ascii="Times New Roman" w:eastAsia="Times New Roman" w:hAnsi="Times New Roman"/>
                <w:snapToGrid w:val="0"/>
                <w:sz w:val="24"/>
              </w:rPr>
              <w:t>dava, Kandavas novads, LV-3120</w:t>
            </w:r>
          </w:p>
        </w:tc>
        <w:tc>
          <w:tcPr>
            <w:tcW w:w="2126" w:type="dxa"/>
            <w:vAlign w:val="center"/>
          </w:tcPr>
          <w:p w:rsidR="00AE1EAB" w:rsidRPr="00E45D2C" w:rsidRDefault="00F33C0C" w:rsidP="00AB79A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</w:rPr>
              <w:t>24 986,55</w:t>
            </w:r>
          </w:p>
        </w:tc>
      </w:tr>
    </w:tbl>
    <w:p w:rsidR="00AE1EAB" w:rsidRDefault="00AE1EAB" w:rsidP="008E44D9">
      <w:pPr>
        <w:pStyle w:val="Default"/>
        <w:jc w:val="both"/>
      </w:pPr>
    </w:p>
    <w:p w:rsidR="00AE1EAB" w:rsidRDefault="00AE1EAB" w:rsidP="008E44D9">
      <w:pPr>
        <w:pStyle w:val="Default"/>
        <w:jc w:val="both"/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F33C0C">
        <w:t>2017.gada 21.augusts</w:t>
      </w:r>
      <w:r w:rsidR="0056497B">
        <w:t>.</w:t>
      </w:r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>
        <w:rPr>
          <w:b/>
          <w:bCs/>
        </w:rPr>
        <w:t xml:space="preserve"> </w:t>
      </w:r>
      <w:r w:rsidR="00F33C0C">
        <w:rPr>
          <w:bCs/>
        </w:rPr>
        <w:t xml:space="preserve">SIA “Kandavas ceļi” piedāvājuma summa iepirkuma 3. daļai “Vānes pamatskolas meiteņu un zēnu tualešu renovācija”  bija EUR 24 412,50 (divdesmit četri tūkstoši četri simti divpadsmit </w:t>
      </w:r>
      <w:r w:rsidR="00F33C0C">
        <w:rPr>
          <w:bCs/>
          <w:i/>
        </w:rPr>
        <w:t>euro</w:t>
      </w:r>
      <w:r w:rsidR="00F33C0C">
        <w:rPr>
          <w:bCs/>
        </w:rPr>
        <w:t xml:space="preserve">, 50 centi).Izlabojot kļūdu, cena par iepirkuma 3.daļu ir EUR 24 986,55 (divdesmit četri tūkstoši deviņi simti astoņdesmit seši </w:t>
      </w:r>
      <w:r w:rsidR="00F33C0C">
        <w:rPr>
          <w:bCs/>
          <w:i/>
        </w:rPr>
        <w:t>euro</w:t>
      </w:r>
      <w:r w:rsidR="002F68F0">
        <w:rPr>
          <w:bCs/>
        </w:rPr>
        <w:t>, 55 centi) bez PVN.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2F68F0">
        <w:rPr>
          <w:bCs/>
        </w:rPr>
        <w:t>SIA “M un V”, reģ. Nr. 40003150841 iesniegtais</w:t>
      </w:r>
      <w:r w:rsidR="00CD55BA" w:rsidRPr="00CD55BA">
        <w:rPr>
          <w:bCs/>
        </w:rPr>
        <w:t xml:space="preserve"> </w:t>
      </w:r>
      <w:r w:rsidR="002F68F0">
        <w:rPr>
          <w:bCs/>
        </w:rPr>
        <w:t>piedāvājums iepirkuma 3. daļai “Vānes pamatskolas meiteņu un zēnu tualešu renovācija”</w:t>
      </w:r>
      <w:r w:rsidR="00CD55BA" w:rsidRPr="00CD55BA">
        <w:rPr>
          <w:bCs/>
        </w:rPr>
        <w:t xml:space="preserve"> atbilda visām iepirkuma nolikum</w:t>
      </w:r>
      <w:r w:rsidR="002F68F0">
        <w:rPr>
          <w:bCs/>
        </w:rPr>
        <w:t>ā noteiktajām prasībām, taču tas</w:t>
      </w:r>
      <w:r w:rsidR="00CD55BA" w:rsidRPr="00CD55BA">
        <w:rPr>
          <w:bCs/>
        </w:rPr>
        <w:t xml:space="preserve"> neb</w:t>
      </w:r>
      <w:r w:rsidR="004C6C40">
        <w:rPr>
          <w:bCs/>
        </w:rPr>
        <w:t xml:space="preserve">ija saimnieciski </w:t>
      </w:r>
      <w:r w:rsidR="002F68F0">
        <w:rPr>
          <w:bCs/>
        </w:rPr>
        <w:t xml:space="preserve">visizdevīgākais </w:t>
      </w:r>
      <w:r w:rsidR="004C6C40">
        <w:rPr>
          <w:bCs/>
        </w:rPr>
        <w:t>piedāvājum</w:t>
      </w:r>
      <w:r w:rsidR="002F68F0">
        <w:rPr>
          <w:bCs/>
        </w:rPr>
        <w:t>s ar viszemāko cenu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68F0">
        <w:rPr>
          <w:rFonts w:ascii="Times New Roman" w:eastAsia="Times New Roman" w:hAnsi="Times New Roman"/>
          <w:b/>
          <w:sz w:val="24"/>
          <w:szCs w:val="24"/>
        </w:rPr>
        <w:t>29</w:t>
      </w:r>
      <w:r w:rsidR="004C6C40">
        <w:rPr>
          <w:rFonts w:ascii="Times New Roman" w:eastAsia="Times New Roman" w:hAnsi="Times New Roman"/>
          <w:b/>
          <w:sz w:val="24"/>
          <w:szCs w:val="24"/>
        </w:rPr>
        <w:t>.05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>Dace Rudēvica</w:t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Anita Šimkēviča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FA" w:rsidRDefault="007E43FA">
      <w:pPr>
        <w:spacing w:after="0" w:line="240" w:lineRule="auto"/>
      </w:pPr>
      <w:r>
        <w:separator/>
      </w:r>
    </w:p>
  </w:endnote>
  <w:endnote w:type="continuationSeparator" w:id="0">
    <w:p w:rsidR="007E43FA" w:rsidRDefault="007E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7E43FA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CD3B73">
      <w:rPr>
        <w:noProof/>
      </w:rPr>
      <w:t>2</w:t>
    </w:r>
    <w:r>
      <w:rPr>
        <w:noProof/>
      </w:rPr>
      <w:fldChar w:fldCharType="end"/>
    </w:r>
  </w:p>
  <w:p w:rsidR="001C1BAA" w:rsidRDefault="007E4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FA" w:rsidRDefault="007E43FA">
      <w:pPr>
        <w:spacing w:after="0" w:line="240" w:lineRule="auto"/>
      </w:pPr>
      <w:r>
        <w:separator/>
      </w:r>
    </w:p>
  </w:footnote>
  <w:footnote w:type="continuationSeparator" w:id="0">
    <w:p w:rsidR="007E43FA" w:rsidRDefault="007E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56497B"/>
    <w:rsid w:val="005A599E"/>
    <w:rsid w:val="00611BB7"/>
    <w:rsid w:val="0064095F"/>
    <w:rsid w:val="007344C4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A0FED"/>
    <w:rsid w:val="00AB60FB"/>
    <w:rsid w:val="00AE1EAB"/>
    <w:rsid w:val="00C55318"/>
    <w:rsid w:val="00CC2590"/>
    <w:rsid w:val="00CD3B73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33C0C"/>
    <w:rsid w:val="00F73791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6355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2</cp:revision>
  <cp:lastPrinted>2016-07-12T06:19:00Z</cp:lastPrinted>
  <dcterms:created xsi:type="dcterms:W3CDTF">2017-05-30T12:15:00Z</dcterms:created>
  <dcterms:modified xsi:type="dcterms:W3CDTF">2017-05-30T12:15:00Z</dcterms:modified>
</cp:coreProperties>
</file>