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A53BFD" w:rsidRPr="00FD0B1D" w:rsidRDefault="00FD0B1D" w:rsidP="00A53B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30</w:t>
      </w:r>
      <w:r w:rsidR="00571B3D">
        <w:rPr>
          <w:sz w:val="24"/>
          <w:szCs w:val="24"/>
          <w:lang w:val="lv-LV"/>
        </w:rPr>
        <w:t>.0</w:t>
      </w:r>
      <w:r w:rsidR="00A53BFD">
        <w:rPr>
          <w:sz w:val="24"/>
          <w:szCs w:val="24"/>
          <w:lang w:val="lv-LV"/>
        </w:rPr>
        <w:t>1</w:t>
      </w:r>
      <w:r w:rsidR="00B81CE7">
        <w:rPr>
          <w:sz w:val="24"/>
          <w:szCs w:val="24"/>
          <w:lang w:val="lv-LV"/>
        </w:rPr>
        <w:t>.201</w:t>
      </w:r>
      <w:r w:rsidR="00A53BFD">
        <w:rPr>
          <w:sz w:val="24"/>
          <w:szCs w:val="24"/>
          <w:lang w:val="lv-LV"/>
        </w:rPr>
        <w:t>8</w:t>
      </w:r>
      <w:r w:rsidR="00B81CE7">
        <w:rPr>
          <w:sz w:val="24"/>
          <w:szCs w:val="24"/>
          <w:lang w:val="lv-LV"/>
        </w:rPr>
        <w:t>.  Nr.</w:t>
      </w:r>
      <w:r w:rsidR="00571B3D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           </w:t>
      </w:r>
      <w:r w:rsidR="00B55FA9">
        <w:rPr>
          <w:sz w:val="24"/>
          <w:szCs w:val="24"/>
          <w:lang w:val="lv-LV"/>
        </w:rPr>
        <w:t xml:space="preserve"> </w:t>
      </w:r>
      <w:r>
        <w:rPr>
          <w:b/>
          <w:i/>
          <w:sz w:val="24"/>
          <w:szCs w:val="24"/>
          <w:lang w:val="lv-LV"/>
        </w:rPr>
        <w:t>Ieinteresētajam piegādātājam</w:t>
      </w:r>
    </w:p>
    <w:p w:rsidR="00B81CE7" w:rsidRPr="00651996" w:rsidRDefault="00B81CE7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166409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Atklātam konkursam</w:t>
      </w:r>
      <w:r w:rsidR="00276A05" w:rsidRPr="00276A05">
        <w:rPr>
          <w:b/>
          <w:i/>
          <w:sz w:val="24"/>
          <w:szCs w:val="24"/>
        </w:rPr>
        <w:t xml:space="preserve"> ar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 w:rsidR="00970A44">
        <w:rPr>
          <w:b/>
          <w:i/>
          <w:caps/>
          <w:color w:val="000000"/>
          <w:sz w:val="24"/>
          <w:szCs w:val="24"/>
        </w:rPr>
        <w:t>2</w:t>
      </w:r>
      <w:r w:rsidR="00571B3D">
        <w:rPr>
          <w:b/>
          <w:i/>
          <w:caps/>
          <w:color w:val="000000"/>
          <w:sz w:val="24"/>
          <w:szCs w:val="24"/>
        </w:rPr>
        <w:t>_</w:t>
      </w:r>
      <w:r>
        <w:rPr>
          <w:b/>
          <w:i/>
          <w:color w:val="000000"/>
          <w:sz w:val="24"/>
          <w:szCs w:val="24"/>
        </w:rPr>
        <w:t>ak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276A05" w:rsidRDefault="00276A05" w:rsidP="003E0B3E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>Kandavas novada dome ir saņēmusi jautājumu</w:t>
      </w:r>
      <w:r w:rsidR="0082262F">
        <w:rPr>
          <w:color w:val="000000"/>
          <w:sz w:val="24"/>
          <w:szCs w:val="24"/>
        </w:rPr>
        <w:t>s</w:t>
      </w:r>
      <w:r w:rsidRPr="00044AC4">
        <w:rPr>
          <w:color w:val="000000"/>
          <w:sz w:val="24"/>
          <w:szCs w:val="24"/>
        </w:rPr>
        <w:t xml:space="preserve"> par </w:t>
      </w:r>
      <w:r w:rsidR="00166409">
        <w:rPr>
          <w:color w:val="000000"/>
          <w:sz w:val="24"/>
          <w:szCs w:val="24"/>
        </w:rPr>
        <w:t>Atklāta konkursa</w:t>
      </w:r>
      <w:r w:rsidRPr="00044AC4">
        <w:rPr>
          <w:color w:val="000000"/>
          <w:sz w:val="24"/>
          <w:szCs w:val="24"/>
        </w:rPr>
        <w:t xml:space="preserve"> </w:t>
      </w:r>
      <w:r w:rsidR="00571B3D">
        <w:rPr>
          <w:iCs/>
          <w:sz w:val="24"/>
          <w:szCs w:val="24"/>
        </w:rPr>
        <w:t>„Grants ceļu pārbūve Kandavas novadā</w:t>
      </w:r>
      <w:r w:rsidR="001D4EC2">
        <w:rPr>
          <w:iCs/>
          <w:sz w:val="24"/>
          <w:szCs w:val="24"/>
        </w:rPr>
        <w:t>”</w:t>
      </w:r>
      <w:r w:rsidR="00B13075">
        <w:rPr>
          <w:iCs/>
          <w:sz w:val="24"/>
          <w:szCs w:val="24"/>
        </w:rPr>
        <w:t>,</w:t>
      </w:r>
      <w:r w:rsidR="003F0390">
        <w:rPr>
          <w:iCs/>
          <w:sz w:val="24"/>
          <w:szCs w:val="24"/>
        </w:rPr>
        <w:t xml:space="preserve"> </w:t>
      </w:r>
      <w:r w:rsidR="00571B3D">
        <w:rPr>
          <w:iCs/>
          <w:sz w:val="24"/>
          <w:szCs w:val="24"/>
        </w:rPr>
        <w:t>ID Nr. KND 201</w:t>
      </w:r>
      <w:r w:rsidR="0082262F">
        <w:rPr>
          <w:iCs/>
          <w:sz w:val="24"/>
          <w:szCs w:val="24"/>
        </w:rPr>
        <w:t>8</w:t>
      </w:r>
      <w:r w:rsidR="00571B3D">
        <w:rPr>
          <w:iCs/>
          <w:sz w:val="24"/>
          <w:szCs w:val="24"/>
        </w:rPr>
        <w:t>/</w:t>
      </w:r>
      <w:r w:rsidR="00970A44">
        <w:rPr>
          <w:iCs/>
          <w:sz w:val="24"/>
          <w:szCs w:val="24"/>
        </w:rPr>
        <w:t>2</w:t>
      </w:r>
      <w:r w:rsidR="00571B3D">
        <w:rPr>
          <w:iCs/>
          <w:sz w:val="24"/>
          <w:szCs w:val="24"/>
        </w:rPr>
        <w:t>_ak</w:t>
      </w:r>
      <w:r>
        <w:rPr>
          <w:sz w:val="24"/>
          <w:szCs w:val="24"/>
        </w:rPr>
        <w:t>, dokumentācijā ietvertajām prasībām un sniedz šād</w:t>
      </w:r>
      <w:r w:rsidR="00CC576B">
        <w:rPr>
          <w:sz w:val="24"/>
          <w:szCs w:val="24"/>
        </w:rPr>
        <w:t>as</w:t>
      </w:r>
      <w:r>
        <w:rPr>
          <w:sz w:val="24"/>
          <w:szCs w:val="24"/>
        </w:rPr>
        <w:t xml:space="preserve"> atbild</w:t>
      </w:r>
      <w:r w:rsidR="0082262F">
        <w:rPr>
          <w:sz w:val="24"/>
          <w:szCs w:val="24"/>
        </w:rPr>
        <w:t>es</w:t>
      </w:r>
      <w:r>
        <w:rPr>
          <w:sz w:val="24"/>
          <w:szCs w:val="24"/>
        </w:rPr>
        <w:t>:</w:t>
      </w:r>
    </w:p>
    <w:p w:rsidR="008E44F6" w:rsidRDefault="008E44F6" w:rsidP="003E0B3E">
      <w:pPr>
        <w:jc w:val="both"/>
        <w:rPr>
          <w:sz w:val="24"/>
          <w:szCs w:val="24"/>
        </w:rPr>
      </w:pPr>
    </w:p>
    <w:p w:rsidR="00D53390" w:rsidRDefault="00D53390" w:rsidP="00D5339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3390" w:rsidRPr="00757CF5" w:rsidRDefault="00D53390" w:rsidP="00757CF5">
      <w:pPr>
        <w:pStyle w:val="Plain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Jautājums. </w:t>
      </w:r>
      <w:r>
        <w:rPr>
          <w:rFonts w:ascii="Times New Roman" w:hAnsi="Times New Roman" w:cs="Times New Roman"/>
          <w:i/>
          <w:sz w:val="24"/>
          <w:szCs w:val="24"/>
        </w:rPr>
        <w:t>Lūdzam apstiprināt, ka nolikuma pielikumā Nr. 3 “Speciālistu profesionālās pieredzes apraksts” ir ievie</w:t>
      </w:r>
      <w:r w:rsidR="00757CF5">
        <w:rPr>
          <w:rFonts w:ascii="Times New Roman" w:hAnsi="Times New Roman" w:cs="Times New Roman"/>
          <w:i/>
          <w:sz w:val="24"/>
          <w:szCs w:val="24"/>
        </w:rPr>
        <w:t xml:space="preserve">susies drukas kļūda un speciālistu pieredze jānorāda saskaņā ar nolikuma </w:t>
      </w:r>
      <w:r w:rsidR="00757CF5">
        <w:rPr>
          <w:rFonts w:ascii="Times New Roman" w:hAnsi="Times New Roman" w:cs="Times New Roman"/>
          <w:i/>
          <w:sz w:val="24"/>
          <w:szCs w:val="24"/>
          <w:u w:val="single"/>
        </w:rPr>
        <w:t>7.4. punktu</w:t>
      </w:r>
      <w:r w:rsidR="00757CF5">
        <w:rPr>
          <w:rFonts w:ascii="Times New Roman" w:hAnsi="Times New Roman" w:cs="Times New Roman"/>
          <w:i/>
          <w:sz w:val="24"/>
          <w:szCs w:val="24"/>
        </w:rPr>
        <w:t xml:space="preserve"> nevis 7.3. punktu.</w:t>
      </w:r>
    </w:p>
    <w:p w:rsidR="00757CF5" w:rsidRDefault="00757CF5" w:rsidP="00757CF5">
      <w:pPr>
        <w:pStyle w:val="PlainText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CF5" w:rsidRDefault="00757CF5" w:rsidP="00757CF5">
      <w:pPr>
        <w:pStyle w:val="PlainTex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57CF5" w:rsidRDefault="00757CF5" w:rsidP="00757CF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48B">
        <w:rPr>
          <w:rFonts w:ascii="Times New Roman" w:hAnsi="Times New Roman" w:cs="Times New Roman"/>
          <w:sz w:val="24"/>
          <w:szCs w:val="24"/>
        </w:rPr>
        <w:t xml:space="preserve">Veikt grozījumus </w:t>
      </w:r>
      <w:r w:rsidR="0038545D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Pielikum</w:t>
      </w:r>
      <w:r w:rsidR="003854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Nr.3 “Speciālistu profesionālās pieredzes apraksts”</w:t>
      </w:r>
      <w:r w:rsidR="0038545D">
        <w:rPr>
          <w:rFonts w:ascii="Times New Roman" w:hAnsi="Times New Roman" w:cs="Times New Roman"/>
          <w:sz w:val="24"/>
          <w:szCs w:val="24"/>
        </w:rPr>
        <w:t xml:space="preserve"> izteikt šādā redakcijā:</w:t>
      </w:r>
    </w:p>
    <w:p w:rsidR="0038545D" w:rsidRPr="0038545D" w:rsidRDefault="0038545D" w:rsidP="0038545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kern w:val="28"/>
          <w:sz w:val="24"/>
          <w:szCs w:val="24"/>
          <w:lang w:val="en-GB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4074"/>
        <w:gridCol w:w="2694"/>
      </w:tblGrid>
      <w:tr w:rsidR="0038545D" w:rsidRPr="0038545D" w:rsidTr="00BD50B0">
        <w:trPr>
          <w:trHeight w:val="1428"/>
        </w:trPr>
        <w:tc>
          <w:tcPr>
            <w:tcW w:w="2163" w:type="dxa"/>
            <w:vAlign w:val="center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Pasūtītājs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(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nosaukums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adrese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kontaktpersonas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vārds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uzvārds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tālrunis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4074" w:type="dxa"/>
            <w:vAlign w:val="center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Objekta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nosaukums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,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veikto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darbu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īss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raksturojums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(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saskaņā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ar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Nolikuma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    7.</w:t>
            </w:r>
            <w:r>
              <w:rPr>
                <w:kern w:val="28"/>
                <w:sz w:val="24"/>
                <w:szCs w:val="24"/>
                <w:lang w:val="en-GB" w:eastAsia="lv-LV"/>
              </w:rPr>
              <w:t>4</w:t>
            </w:r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.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punktu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>)</w:t>
            </w:r>
          </w:p>
        </w:tc>
        <w:tc>
          <w:tcPr>
            <w:tcW w:w="269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</w:p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Amats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(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pozīcija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līguma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 xml:space="preserve"> </w:t>
            </w:r>
            <w:proofErr w:type="spellStart"/>
            <w:r w:rsidRPr="0038545D">
              <w:rPr>
                <w:kern w:val="28"/>
                <w:sz w:val="24"/>
                <w:szCs w:val="24"/>
                <w:lang w:val="en-GB" w:eastAsia="lv-LV"/>
              </w:rPr>
              <w:t>izpildē</w:t>
            </w:r>
            <w:proofErr w:type="spellEnd"/>
            <w:r w:rsidRPr="0038545D">
              <w:rPr>
                <w:kern w:val="28"/>
                <w:sz w:val="24"/>
                <w:szCs w:val="24"/>
                <w:lang w:val="en-GB" w:eastAsia="lv-LV"/>
              </w:rPr>
              <w:t>)</w:t>
            </w:r>
          </w:p>
        </w:tc>
      </w:tr>
      <w:tr w:rsidR="0038545D" w:rsidRPr="0038545D" w:rsidTr="00BD50B0">
        <w:trPr>
          <w:trHeight w:val="300"/>
        </w:trPr>
        <w:tc>
          <w:tcPr>
            <w:tcW w:w="2163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407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269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</w:p>
        </w:tc>
      </w:tr>
      <w:tr w:rsidR="0038545D" w:rsidRPr="0038545D" w:rsidTr="00BD50B0">
        <w:trPr>
          <w:trHeight w:val="300"/>
        </w:trPr>
        <w:tc>
          <w:tcPr>
            <w:tcW w:w="2163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407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  <w:lang w:val="en-GB" w:eastAsia="lv-LV"/>
              </w:rPr>
            </w:pPr>
          </w:p>
        </w:tc>
        <w:tc>
          <w:tcPr>
            <w:tcW w:w="2694" w:type="dxa"/>
          </w:tcPr>
          <w:p w:rsidR="0038545D" w:rsidRPr="0038545D" w:rsidRDefault="0038545D" w:rsidP="0038545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  <w:lang w:val="en-GB" w:eastAsia="lv-LV"/>
              </w:rPr>
            </w:pPr>
          </w:p>
        </w:tc>
      </w:tr>
    </w:tbl>
    <w:p w:rsidR="0038545D" w:rsidRPr="0038545D" w:rsidRDefault="0038545D" w:rsidP="0038545D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4"/>
          <w:szCs w:val="24"/>
          <w:lang w:val="en-GB" w:eastAsia="lv-LV"/>
        </w:rPr>
      </w:pPr>
    </w:p>
    <w:p w:rsidR="00757CF5" w:rsidRDefault="00757CF5" w:rsidP="00757CF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57CF5" w:rsidRPr="0002148B" w:rsidRDefault="00757CF5" w:rsidP="0002148B">
      <w:pPr>
        <w:pStyle w:val="Plain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Jautājums. </w:t>
      </w:r>
      <w:r>
        <w:rPr>
          <w:rFonts w:ascii="Times New Roman" w:hAnsi="Times New Roman" w:cs="Times New Roman"/>
          <w:i/>
          <w:sz w:val="24"/>
          <w:szCs w:val="24"/>
        </w:rPr>
        <w:t xml:space="preserve">Nolikuma 10. pielikumā “Tehniskā specifikācija” 3.42. punktā norādīts, ka Pretendentam, pēc Objekta pieņemšanas ekspluatācijā jāiesniedz </w:t>
      </w:r>
      <w:r w:rsidRPr="0002148B">
        <w:rPr>
          <w:rFonts w:ascii="Times New Roman" w:hAnsi="Times New Roman" w:cs="Times New Roman"/>
          <w:i/>
          <w:sz w:val="24"/>
          <w:szCs w:val="24"/>
        </w:rPr>
        <w:t xml:space="preserve">Pasūtītājam </w:t>
      </w:r>
      <w:r w:rsidRPr="0002148B">
        <w:rPr>
          <w:rFonts w:ascii="Times New Roman" w:hAnsi="Times New Roman" w:cs="Times New Roman"/>
          <w:b/>
          <w:i/>
          <w:sz w:val="24"/>
          <w:szCs w:val="24"/>
          <w:u w:val="single"/>
        </w:rPr>
        <w:t>bankas galvojums,</w:t>
      </w:r>
      <w:r w:rsidR="009B56C6" w:rsidRPr="00021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48B">
        <w:rPr>
          <w:rFonts w:ascii="Times New Roman" w:hAnsi="Times New Roman" w:cs="Times New Roman"/>
          <w:i/>
          <w:sz w:val="24"/>
          <w:szCs w:val="24"/>
        </w:rPr>
        <w:t xml:space="preserve">kas ir derīgs uz </w:t>
      </w:r>
      <w:r w:rsidR="009B56C6" w:rsidRPr="0002148B">
        <w:rPr>
          <w:rFonts w:ascii="Times New Roman" w:hAnsi="Times New Roman" w:cs="Times New Roman"/>
          <w:i/>
          <w:sz w:val="24"/>
          <w:szCs w:val="24"/>
        </w:rPr>
        <w:t xml:space="preserve">visu garantijas termiņu, bet nolikuma 12.2. punktā teikts, ka uzņēmējam, ka uzņēmējam jāiesniedz pasūtītājam </w:t>
      </w:r>
      <w:r w:rsidR="009B56C6" w:rsidRPr="00021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bankas vai apdrošināšanas sabiedrības </w:t>
      </w:r>
      <w:r w:rsidR="009B56C6" w:rsidRPr="0002148B">
        <w:rPr>
          <w:rFonts w:ascii="Times New Roman" w:hAnsi="Times New Roman" w:cs="Times New Roman"/>
          <w:i/>
          <w:sz w:val="24"/>
          <w:szCs w:val="24"/>
        </w:rPr>
        <w:t>izsniegta garantijas laika garantija.</w:t>
      </w:r>
    </w:p>
    <w:p w:rsidR="009B56C6" w:rsidRPr="0002148B" w:rsidRDefault="009B56C6" w:rsidP="0002148B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48B">
        <w:rPr>
          <w:rFonts w:ascii="Times New Roman" w:hAnsi="Times New Roman" w:cs="Times New Roman"/>
          <w:i/>
          <w:sz w:val="24"/>
          <w:szCs w:val="24"/>
        </w:rPr>
        <w:t xml:space="preserve">Lūdzam apstiprināt, ka pēc Objekta pieņemšanas ekspluatācijā Pretendentam būs jāiesniedz </w:t>
      </w:r>
      <w:r w:rsidRPr="00021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bankas vai apdrošināšanas sabiedrības </w:t>
      </w:r>
      <w:r w:rsidRPr="0002148B">
        <w:rPr>
          <w:rFonts w:ascii="Times New Roman" w:hAnsi="Times New Roman" w:cs="Times New Roman"/>
          <w:i/>
          <w:sz w:val="24"/>
          <w:szCs w:val="24"/>
        </w:rPr>
        <w:t>izsniegta garantijas laika garantija.</w:t>
      </w:r>
    </w:p>
    <w:p w:rsidR="009B56C6" w:rsidRPr="0002148B" w:rsidRDefault="009B56C6" w:rsidP="009B56C6">
      <w:pPr>
        <w:pStyle w:val="PlainTex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6C6" w:rsidRDefault="009B56C6" w:rsidP="009B56C6">
      <w:pPr>
        <w:pStyle w:val="PlainTex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9B56C6" w:rsidRDefault="0002148B" w:rsidP="005B2337">
      <w:pPr>
        <w:pStyle w:val="PlainTex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Veikt grozījumus un </w:t>
      </w:r>
      <w:r w:rsidR="009B56C6">
        <w:rPr>
          <w:rFonts w:ascii="Times New Roman" w:hAnsi="Times New Roman" w:cs="Times New Roman"/>
          <w:sz w:val="24"/>
          <w:szCs w:val="24"/>
        </w:rPr>
        <w:t>Nolikuma 10.pielikumā “Tehniskā specifikācija” 3.42. punkt</w:t>
      </w:r>
      <w:r w:rsidR="005F1489">
        <w:rPr>
          <w:rFonts w:ascii="Times New Roman" w:hAnsi="Times New Roman" w:cs="Times New Roman"/>
          <w:sz w:val="24"/>
          <w:szCs w:val="24"/>
        </w:rPr>
        <w:t>u izteikt šādā redakcijā</w:t>
      </w:r>
      <w:r w:rsidR="005B2337">
        <w:rPr>
          <w:rFonts w:ascii="Times New Roman" w:hAnsi="Times New Roman" w:cs="Times New Roman"/>
          <w:sz w:val="24"/>
          <w:szCs w:val="24"/>
        </w:rPr>
        <w:t>:</w:t>
      </w:r>
    </w:p>
    <w:p w:rsidR="005B2337" w:rsidRPr="007B1641" w:rsidRDefault="005B2337" w:rsidP="005B2337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B1641">
        <w:rPr>
          <w:sz w:val="24"/>
          <w:szCs w:val="24"/>
        </w:rPr>
        <w:t>Pretendentam, kurš atzīts par Iepirkuma procedūras uzvarētāju, par 10 % (desmit procentiem) no piedāvātās Līgumcenas 5 (piec</w:t>
      </w:r>
      <w:r>
        <w:rPr>
          <w:sz w:val="24"/>
          <w:szCs w:val="24"/>
        </w:rPr>
        <w:t>u) darba dienu laikā pēc Objekta</w:t>
      </w:r>
      <w:r w:rsidRPr="007B1641">
        <w:rPr>
          <w:sz w:val="24"/>
          <w:szCs w:val="24"/>
        </w:rPr>
        <w:t xml:space="preserve"> pieņemšanas ekspluatācijā jāiesni</w:t>
      </w:r>
      <w:r>
        <w:rPr>
          <w:sz w:val="24"/>
          <w:szCs w:val="24"/>
        </w:rPr>
        <w:t>edz Pasūtītājam bankas vai apdrošināšanas sabiedrības izsniegta garantijas laika garantija.</w:t>
      </w:r>
    </w:p>
    <w:p w:rsidR="005B2337" w:rsidRDefault="005B2337" w:rsidP="005B2337">
      <w:pPr>
        <w:pStyle w:val="PlainText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02148B" w:rsidRPr="00166409" w:rsidRDefault="005B2337" w:rsidP="0002148B">
      <w:pPr>
        <w:pStyle w:val="Plain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Jautājums. </w:t>
      </w:r>
      <w:r>
        <w:rPr>
          <w:rFonts w:ascii="Times New Roman" w:hAnsi="Times New Roman" w:cs="Times New Roman"/>
          <w:i/>
          <w:sz w:val="24"/>
          <w:szCs w:val="24"/>
        </w:rPr>
        <w:t xml:space="preserve">Nolikuma 8. pielikumā </w:t>
      </w:r>
      <w:r w:rsidR="0002148B">
        <w:rPr>
          <w:rFonts w:ascii="Times New Roman" w:hAnsi="Times New Roman" w:cs="Times New Roman"/>
          <w:i/>
          <w:sz w:val="24"/>
          <w:szCs w:val="24"/>
        </w:rPr>
        <w:t>jāaizpilda dati par Pretendenta Finansiālo stāvokli, kur pielikumā jāpievieno finanšu pārskats par katru norādīto finanšu gadu.</w:t>
      </w:r>
      <w:r w:rsidR="0002148B" w:rsidRPr="0002148B">
        <w:rPr>
          <w:rFonts w:ascii="Times New Roman" w:hAnsi="Times New Roman" w:cs="Times New Roman"/>
          <w:i/>
          <w:sz w:val="24"/>
          <w:szCs w:val="24"/>
        </w:rPr>
        <w:t xml:space="preserve"> Lūdzam precizēt, vai Pretendentam jāpievieno viss finanšu pārskats par katru gadu, vai Pretendents izpildīs prasību iesniedzot bilanci un peļņas vai zaudējumu par katru gadu.</w:t>
      </w:r>
    </w:p>
    <w:p w:rsidR="00166409" w:rsidRDefault="00166409" w:rsidP="0016640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409" w:rsidRDefault="00166409" w:rsidP="00166409">
      <w:pPr>
        <w:pStyle w:val="PlainTex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66409" w:rsidRPr="00166409" w:rsidRDefault="00166409" w:rsidP="0016640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Pretendents izpildīs prasību, ja tiks iesniegta bilance un peļņas vai zaudējuma aprēķins par katru gadu.</w:t>
      </w:r>
    </w:p>
    <w:p w:rsidR="009B56C6" w:rsidRPr="009B56C6" w:rsidRDefault="009B56C6" w:rsidP="00166409">
      <w:pPr>
        <w:pStyle w:val="PlainTex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B3E" w:rsidRPr="003E11E1" w:rsidRDefault="003E0B3E" w:rsidP="00166409">
      <w:pPr>
        <w:ind w:left="1134"/>
        <w:jc w:val="both"/>
        <w:rPr>
          <w:sz w:val="24"/>
          <w:szCs w:val="24"/>
        </w:rPr>
      </w:pPr>
    </w:p>
    <w:p w:rsidR="003E0B3E" w:rsidRPr="003E0B3E" w:rsidRDefault="003E0B3E" w:rsidP="003E11E1">
      <w:pPr>
        <w:jc w:val="both"/>
      </w:pPr>
      <w:r>
        <w:rPr>
          <w:b/>
          <w:sz w:val="24"/>
          <w:szCs w:val="24"/>
        </w:rPr>
        <w:tab/>
      </w:r>
    </w:p>
    <w:p w:rsidR="007F5269" w:rsidRPr="007F5269" w:rsidRDefault="007F5269" w:rsidP="00E00909">
      <w:pPr>
        <w:spacing w:after="200" w:line="276" w:lineRule="auto"/>
        <w:rPr>
          <w:sz w:val="24"/>
          <w:szCs w:val="24"/>
        </w:rPr>
      </w:pPr>
    </w:p>
    <w:p w:rsidR="00E00909" w:rsidRPr="00E00909" w:rsidRDefault="00E00909" w:rsidP="00F0277E">
      <w:pPr>
        <w:pStyle w:val="NoSpacing"/>
        <w:jc w:val="both"/>
        <w:rPr>
          <w:b/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Default="003E11E1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K</w:t>
      </w:r>
      <w:r w:rsidR="00F0277E">
        <w:rPr>
          <w:sz w:val="24"/>
          <w:szCs w:val="24"/>
          <w:lang w:val="lv-LV"/>
        </w:rPr>
        <w:t>omisijas priekšsēdētāj</w:t>
      </w:r>
      <w:r w:rsidR="00166409">
        <w:rPr>
          <w:sz w:val="24"/>
          <w:szCs w:val="24"/>
          <w:lang w:val="lv-LV"/>
        </w:rPr>
        <w:t>a vietniece</w:t>
      </w:r>
      <w:r w:rsidR="00F0277E">
        <w:rPr>
          <w:sz w:val="24"/>
          <w:szCs w:val="24"/>
          <w:lang w:val="lv-LV"/>
        </w:rPr>
        <w:tab/>
      </w:r>
      <w:r w:rsidR="00F0277E">
        <w:rPr>
          <w:sz w:val="24"/>
          <w:szCs w:val="24"/>
          <w:lang w:val="lv-LV"/>
        </w:rPr>
        <w:tab/>
      </w:r>
      <w:r w:rsidR="004D751D">
        <w:rPr>
          <w:lang w:val="lv-LV"/>
        </w:rPr>
        <w:t>/personiskais paraksts/</w:t>
      </w:r>
      <w:r w:rsidR="00F0277E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bookmarkStart w:id="0" w:name="_GoBack"/>
      <w:bookmarkEnd w:id="0"/>
      <w:r w:rsidR="00166409">
        <w:rPr>
          <w:sz w:val="24"/>
          <w:szCs w:val="24"/>
          <w:lang w:val="lv-LV"/>
        </w:rPr>
        <w:t xml:space="preserve">Dace </w:t>
      </w:r>
      <w:proofErr w:type="spellStart"/>
      <w:r w:rsidR="00166409">
        <w:rPr>
          <w:sz w:val="24"/>
          <w:szCs w:val="24"/>
          <w:lang w:val="lv-LV"/>
        </w:rPr>
        <w:t>Rudēvica</w:t>
      </w:r>
      <w:proofErr w:type="spellEnd"/>
    </w:p>
    <w:p w:rsidR="00166409" w:rsidRDefault="00166409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Pr="00166409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Pr="00166409">
        <w:rPr>
          <w:sz w:val="16"/>
          <w:szCs w:val="16"/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63107375</w:t>
      </w:r>
    </w:p>
    <w:p w:rsidR="00166409" w:rsidRPr="00166409" w:rsidRDefault="004D751D" w:rsidP="00F0277E">
      <w:pPr>
        <w:pStyle w:val="NoSpacing"/>
        <w:jc w:val="both"/>
        <w:rPr>
          <w:sz w:val="16"/>
          <w:szCs w:val="16"/>
          <w:lang w:val="lv-LV"/>
        </w:rPr>
      </w:pPr>
      <w:hyperlink r:id="rId6" w:history="1">
        <w:r w:rsidR="00166409" w:rsidRPr="00C809C8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p w:rsidR="00533687" w:rsidRDefault="00533687" w:rsidP="00FF4E48">
      <w:pPr>
        <w:jc w:val="both"/>
        <w:rPr>
          <w:color w:val="595959" w:themeColor="text1" w:themeTint="A6"/>
        </w:rPr>
      </w:pPr>
    </w:p>
    <w:p w:rsidR="00B55FA9" w:rsidRPr="00AF2402" w:rsidRDefault="00B55FA9" w:rsidP="00FF4E48">
      <w:pPr>
        <w:jc w:val="both"/>
        <w:rPr>
          <w:color w:val="595959" w:themeColor="text1" w:themeTint="A6"/>
        </w:rPr>
      </w:pPr>
    </w:p>
    <w:sectPr w:rsidR="00B55FA9" w:rsidRPr="00AF2402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2148B"/>
    <w:rsid w:val="00026DFF"/>
    <w:rsid w:val="000355C8"/>
    <w:rsid w:val="000622E7"/>
    <w:rsid w:val="00077D13"/>
    <w:rsid w:val="000A05F2"/>
    <w:rsid w:val="000C02AD"/>
    <w:rsid w:val="000E5A43"/>
    <w:rsid w:val="00100935"/>
    <w:rsid w:val="00113822"/>
    <w:rsid w:val="001353D3"/>
    <w:rsid w:val="00166409"/>
    <w:rsid w:val="00182FF7"/>
    <w:rsid w:val="0018315E"/>
    <w:rsid w:val="001D1829"/>
    <w:rsid w:val="001D4EC2"/>
    <w:rsid w:val="00276A05"/>
    <w:rsid w:val="002B6880"/>
    <w:rsid w:val="002D0FED"/>
    <w:rsid w:val="00336E09"/>
    <w:rsid w:val="00340BA0"/>
    <w:rsid w:val="00347AA3"/>
    <w:rsid w:val="00376D02"/>
    <w:rsid w:val="0038545D"/>
    <w:rsid w:val="003A3654"/>
    <w:rsid w:val="003B70F5"/>
    <w:rsid w:val="003C4AA2"/>
    <w:rsid w:val="003E0B3E"/>
    <w:rsid w:val="003E11E1"/>
    <w:rsid w:val="003F0390"/>
    <w:rsid w:val="004156BA"/>
    <w:rsid w:val="00420666"/>
    <w:rsid w:val="0042769E"/>
    <w:rsid w:val="00465848"/>
    <w:rsid w:val="00466CFE"/>
    <w:rsid w:val="004B62BB"/>
    <w:rsid w:val="004D751D"/>
    <w:rsid w:val="0051406E"/>
    <w:rsid w:val="00533687"/>
    <w:rsid w:val="00571B3D"/>
    <w:rsid w:val="00585D30"/>
    <w:rsid w:val="005B2337"/>
    <w:rsid w:val="005B60D5"/>
    <w:rsid w:val="005F1489"/>
    <w:rsid w:val="005F61C6"/>
    <w:rsid w:val="006355A6"/>
    <w:rsid w:val="0064183D"/>
    <w:rsid w:val="00651996"/>
    <w:rsid w:val="006706AB"/>
    <w:rsid w:val="00685A92"/>
    <w:rsid w:val="006F1BFC"/>
    <w:rsid w:val="0070485C"/>
    <w:rsid w:val="00757CF5"/>
    <w:rsid w:val="00773C4F"/>
    <w:rsid w:val="007C4E14"/>
    <w:rsid w:val="007F5269"/>
    <w:rsid w:val="007F69F4"/>
    <w:rsid w:val="00813ACF"/>
    <w:rsid w:val="0082262F"/>
    <w:rsid w:val="008B54CE"/>
    <w:rsid w:val="008E44F6"/>
    <w:rsid w:val="00914528"/>
    <w:rsid w:val="00921C99"/>
    <w:rsid w:val="0094630D"/>
    <w:rsid w:val="00970A44"/>
    <w:rsid w:val="00981DC6"/>
    <w:rsid w:val="00990CF7"/>
    <w:rsid w:val="009A0FD5"/>
    <w:rsid w:val="009A528F"/>
    <w:rsid w:val="009B56C6"/>
    <w:rsid w:val="00A17B8D"/>
    <w:rsid w:val="00A53BFD"/>
    <w:rsid w:val="00B13075"/>
    <w:rsid w:val="00B27E13"/>
    <w:rsid w:val="00B55FA9"/>
    <w:rsid w:val="00B81CE7"/>
    <w:rsid w:val="00BA4F8A"/>
    <w:rsid w:val="00BF5924"/>
    <w:rsid w:val="00C51EAC"/>
    <w:rsid w:val="00CB1DA5"/>
    <w:rsid w:val="00CC16B6"/>
    <w:rsid w:val="00CC576B"/>
    <w:rsid w:val="00CF7E7B"/>
    <w:rsid w:val="00D277CF"/>
    <w:rsid w:val="00D53390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2EE6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10</cp:revision>
  <cp:lastPrinted>2017-06-19T14:58:00Z</cp:lastPrinted>
  <dcterms:created xsi:type="dcterms:W3CDTF">2017-06-19T14:58:00Z</dcterms:created>
  <dcterms:modified xsi:type="dcterms:W3CDTF">2018-01-30T08:54:00Z</dcterms:modified>
</cp:coreProperties>
</file>