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A" w:rsidRDefault="0015575A" w:rsidP="0087409E">
      <w:pPr>
        <w:rPr>
          <w:bCs/>
          <w:iCs/>
          <w:sz w:val="22"/>
          <w:szCs w:val="22"/>
        </w:rPr>
      </w:pPr>
    </w:p>
    <w:p w:rsidR="0015575A" w:rsidRDefault="0015575A" w:rsidP="0087409E">
      <w:pPr>
        <w:rPr>
          <w:bCs/>
          <w:iCs/>
          <w:sz w:val="22"/>
          <w:szCs w:val="22"/>
        </w:rPr>
      </w:pPr>
    </w:p>
    <w:p w:rsidR="0015575A" w:rsidRDefault="00A1693F" w:rsidP="0087409E">
      <w:pPr>
        <w:rPr>
          <w:bCs/>
          <w:iCs/>
          <w:sz w:val="28"/>
          <w:szCs w:val="28"/>
        </w:rPr>
      </w:pPr>
      <w:r w:rsidRPr="0015575A">
        <w:rPr>
          <w:bCs/>
          <w:iCs/>
          <w:sz w:val="28"/>
          <w:szCs w:val="28"/>
        </w:rPr>
        <w:t>Iepirkuma procedūra</w:t>
      </w:r>
      <w:r w:rsidR="009C23D4" w:rsidRPr="0015575A">
        <w:rPr>
          <w:bCs/>
          <w:iCs/>
          <w:sz w:val="28"/>
          <w:szCs w:val="28"/>
        </w:rPr>
        <w:t xml:space="preserve"> </w:t>
      </w:r>
    </w:p>
    <w:p w:rsidR="0087409E" w:rsidRPr="0015575A" w:rsidRDefault="0087409E" w:rsidP="0087409E">
      <w:pPr>
        <w:rPr>
          <w:b/>
          <w:bCs/>
          <w:sz w:val="28"/>
          <w:szCs w:val="28"/>
        </w:rPr>
      </w:pPr>
      <w:r w:rsidRPr="0015575A">
        <w:rPr>
          <w:b/>
          <w:bCs/>
          <w:iCs/>
          <w:sz w:val="28"/>
          <w:szCs w:val="28"/>
        </w:rPr>
        <w:t>„Ūdenssaimniecības pakalpojumu attīstība Kandavā, II kārta”</w:t>
      </w:r>
      <w:r w:rsidRPr="0015575A">
        <w:rPr>
          <w:b/>
          <w:bCs/>
          <w:sz w:val="28"/>
          <w:szCs w:val="28"/>
        </w:rPr>
        <w:t xml:space="preserve"> </w:t>
      </w:r>
    </w:p>
    <w:p w:rsidR="0087409E" w:rsidRPr="0015575A" w:rsidRDefault="0087409E" w:rsidP="0087409E">
      <w:pPr>
        <w:rPr>
          <w:sz w:val="28"/>
          <w:szCs w:val="28"/>
        </w:rPr>
      </w:pPr>
      <w:r w:rsidRPr="0015575A">
        <w:rPr>
          <w:sz w:val="28"/>
          <w:szCs w:val="28"/>
        </w:rPr>
        <w:t xml:space="preserve">Iepirkuma </w:t>
      </w:r>
      <w:proofErr w:type="spellStart"/>
      <w:r w:rsidRPr="0015575A">
        <w:rPr>
          <w:sz w:val="28"/>
          <w:szCs w:val="28"/>
        </w:rPr>
        <w:t>id.Nr</w:t>
      </w:r>
      <w:proofErr w:type="spellEnd"/>
      <w:r w:rsidRPr="0015575A">
        <w:rPr>
          <w:sz w:val="28"/>
          <w:szCs w:val="28"/>
        </w:rPr>
        <w:t>. KKP/2019/1</w:t>
      </w:r>
    </w:p>
    <w:p w:rsidR="0087409E" w:rsidRDefault="0087409E" w:rsidP="0087409E">
      <w:pPr>
        <w:rPr>
          <w:bCs/>
          <w:iCs/>
          <w:sz w:val="18"/>
          <w:szCs w:val="18"/>
        </w:rPr>
      </w:pPr>
    </w:p>
    <w:p w:rsidR="0015575A" w:rsidRDefault="0015575A" w:rsidP="0087409E">
      <w:pPr>
        <w:rPr>
          <w:bCs/>
          <w:iCs/>
          <w:sz w:val="18"/>
          <w:szCs w:val="18"/>
        </w:rPr>
      </w:pPr>
    </w:p>
    <w:p w:rsidR="0015575A" w:rsidRPr="00933C36" w:rsidRDefault="0015575A" w:rsidP="0087409E">
      <w:pPr>
        <w:rPr>
          <w:bCs/>
          <w:iCs/>
          <w:sz w:val="18"/>
          <w:szCs w:val="18"/>
        </w:rPr>
      </w:pPr>
    </w:p>
    <w:p w:rsidR="008115E8" w:rsidRDefault="008115E8" w:rsidP="008115E8">
      <w:pPr>
        <w:spacing w:after="120"/>
      </w:pPr>
      <w:r>
        <w:rPr>
          <w:b/>
          <w:sz w:val="24"/>
          <w:szCs w:val="24"/>
          <w:u w:val="single"/>
        </w:rPr>
        <w:t>4</w:t>
      </w:r>
      <w:r w:rsidRPr="009C23D4">
        <w:rPr>
          <w:b/>
          <w:sz w:val="24"/>
          <w:szCs w:val="24"/>
          <w:u w:val="single"/>
        </w:rPr>
        <w:t>.jautājums</w:t>
      </w:r>
      <w:r>
        <w:t xml:space="preserve"> </w:t>
      </w:r>
    </w:p>
    <w:p w:rsidR="008115E8" w:rsidRDefault="008115E8" w:rsidP="008115E8">
      <w:p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A1693F">
        <w:rPr>
          <w:i/>
          <w:sz w:val="22"/>
          <w:szCs w:val="22"/>
        </w:rPr>
        <w:t>ar</w:t>
      </w:r>
      <w:r>
        <w:rPr>
          <w:i/>
          <w:sz w:val="22"/>
          <w:szCs w:val="22"/>
        </w:rPr>
        <w:t xml:space="preserve"> Iepirkuma procedūras nolikuma C pielikuma „Iepirkuma līguma projekts” 5.1.</w:t>
      </w:r>
      <w:r w:rsidR="001747FE">
        <w:rPr>
          <w:i/>
          <w:sz w:val="22"/>
          <w:szCs w:val="22"/>
        </w:rPr>
        <w:t xml:space="preserve"> </w:t>
      </w:r>
      <w:r w:rsidRPr="00A1693F">
        <w:rPr>
          <w:i/>
          <w:sz w:val="22"/>
          <w:szCs w:val="22"/>
        </w:rPr>
        <w:t>punktu:</w:t>
      </w:r>
    </w:p>
    <w:p w:rsidR="008115E8" w:rsidRPr="00045CAC" w:rsidRDefault="00503678" w:rsidP="008115E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Līguma izpildes garantija</w:t>
      </w:r>
    </w:p>
    <w:p w:rsidR="008115E8" w:rsidRDefault="008115E8" w:rsidP="008115E8">
      <w:pPr>
        <w:pStyle w:val="Sarakstarindkop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rPr>
          <w:sz w:val="24"/>
          <w:szCs w:val="24"/>
        </w:rPr>
        <w:t>Ja Izpildītājam  nav nepieciešams saņemt avansu būvdarbu veikšanai, vai garantija 15% apmērā ir jāiesniedz tik un tā</w:t>
      </w:r>
      <w:r>
        <w:rPr>
          <w:sz w:val="22"/>
          <w:szCs w:val="22"/>
        </w:rPr>
        <w:t>?</w:t>
      </w:r>
    </w:p>
    <w:p w:rsidR="008115E8" w:rsidRPr="008115E8" w:rsidRDefault="008115E8" w:rsidP="008115E8">
      <w:pPr>
        <w:spacing w:after="120"/>
        <w:jc w:val="both"/>
        <w:rPr>
          <w:b/>
          <w:sz w:val="24"/>
          <w:szCs w:val="24"/>
        </w:rPr>
      </w:pPr>
      <w:r w:rsidRPr="008115E8">
        <w:rPr>
          <w:b/>
          <w:sz w:val="24"/>
          <w:szCs w:val="24"/>
        </w:rPr>
        <w:t>Atbilde uz 4.jautājumu</w:t>
      </w:r>
    </w:p>
    <w:p w:rsidR="008115E8" w:rsidRDefault="008115E8" w:rsidP="008115E8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Saskaņā ar Iepirkuma līguma projekta 5.1. punktu, Izpildītājam 14 (četrpadsmit) dienu laikā no līguma spēkā stāšanās dienas ir jāiesniedz Pasūtītājam Līguma izpildes garantija 15% apmērā no Līguma summas (bez PVN)</w:t>
      </w:r>
      <w:r>
        <w:rPr>
          <w:i/>
          <w:sz w:val="24"/>
          <w:szCs w:val="24"/>
        </w:rPr>
        <w:t xml:space="preserve">, </w:t>
      </w:r>
      <w:r w:rsidRPr="00D63B25">
        <w:rPr>
          <w:sz w:val="24"/>
          <w:szCs w:val="24"/>
        </w:rPr>
        <w:t>neatkarīgi no tā vai Izpildītāj</w:t>
      </w:r>
      <w:r>
        <w:rPr>
          <w:sz w:val="24"/>
          <w:szCs w:val="24"/>
        </w:rPr>
        <w:t xml:space="preserve">s </w:t>
      </w:r>
      <w:r w:rsidRPr="00D63B25">
        <w:rPr>
          <w:sz w:val="24"/>
          <w:szCs w:val="24"/>
        </w:rPr>
        <w:t xml:space="preserve">būvdarbu veikšanai </w:t>
      </w:r>
      <w:r>
        <w:rPr>
          <w:sz w:val="24"/>
          <w:szCs w:val="24"/>
        </w:rPr>
        <w:t>pieprasa</w:t>
      </w:r>
      <w:r w:rsidRPr="00D63B25">
        <w:rPr>
          <w:sz w:val="24"/>
          <w:szCs w:val="24"/>
        </w:rPr>
        <w:t xml:space="preserve"> vai </w:t>
      </w:r>
      <w:r>
        <w:rPr>
          <w:sz w:val="24"/>
          <w:szCs w:val="24"/>
        </w:rPr>
        <w:t>nepieprasa</w:t>
      </w:r>
      <w:r w:rsidRPr="00D63B25">
        <w:rPr>
          <w:sz w:val="24"/>
          <w:szCs w:val="24"/>
        </w:rPr>
        <w:t xml:space="preserve"> avansa maksājum</w:t>
      </w:r>
      <w:r>
        <w:rPr>
          <w:sz w:val="24"/>
          <w:szCs w:val="24"/>
        </w:rPr>
        <w:t>u.</w:t>
      </w:r>
      <w:r w:rsidRPr="00D63B25">
        <w:rPr>
          <w:sz w:val="24"/>
          <w:szCs w:val="24"/>
        </w:rPr>
        <w:t xml:space="preserve"> </w:t>
      </w:r>
    </w:p>
    <w:p w:rsidR="008115E8" w:rsidRPr="00D63B25" w:rsidRDefault="008115E8" w:rsidP="008115E8">
      <w:pPr>
        <w:pStyle w:val="Sarakstarindkopa"/>
        <w:rPr>
          <w:sz w:val="24"/>
          <w:szCs w:val="24"/>
        </w:rPr>
      </w:pPr>
    </w:p>
    <w:p w:rsidR="008115E8" w:rsidRPr="00C36889" w:rsidRDefault="008115E8" w:rsidP="008115E8">
      <w:pPr>
        <w:pStyle w:val="Sarakstarindkopa"/>
        <w:jc w:val="both"/>
        <w:rPr>
          <w:sz w:val="24"/>
          <w:szCs w:val="24"/>
        </w:rPr>
      </w:pPr>
    </w:p>
    <w:p w:rsidR="008115E8" w:rsidRDefault="008115E8" w:rsidP="008115E8">
      <w:pPr>
        <w:pStyle w:val="Sarakstarindkopa"/>
        <w:spacing w:after="120"/>
        <w:ind w:left="0"/>
        <w:contextualSpacing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9C23D4">
        <w:rPr>
          <w:b/>
          <w:sz w:val="24"/>
          <w:szCs w:val="24"/>
          <w:u w:val="single"/>
        </w:rPr>
        <w:t>.jautājums</w:t>
      </w:r>
    </w:p>
    <w:p w:rsidR="008115E8" w:rsidRDefault="008115E8" w:rsidP="008115E8">
      <w:p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A1693F">
        <w:rPr>
          <w:i/>
          <w:sz w:val="22"/>
          <w:szCs w:val="22"/>
        </w:rPr>
        <w:t>ar</w:t>
      </w:r>
      <w:r>
        <w:rPr>
          <w:i/>
          <w:sz w:val="22"/>
          <w:szCs w:val="22"/>
        </w:rPr>
        <w:t xml:space="preserve"> Iepirkuma procedūras nolikuma 8.3.1. un 8.3.2. </w:t>
      </w:r>
      <w:r w:rsidRPr="00A1693F">
        <w:rPr>
          <w:i/>
          <w:sz w:val="22"/>
          <w:szCs w:val="22"/>
        </w:rPr>
        <w:t>punktu:</w:t>
      </w:r>
    </w:p>
    <w:p w:rsidR="008115E8" w:rsidRDefault="008115E8" w:rsidP="008115E8">
      <w:pPr>
        <w:rPr>
          <w:sz w:val="22"/>
          <w:szCs w:val="22"/>
        </w:rPr>
      </w:pPr>
      <w:r w:rsidRPr="00673E36">
        <w:rPr>
          <w:sz w:val="22"/>
          <w:szCs w:val="22"/>
        </w:rPr>
        <w:t>Prasības attiecībā uz Pretendenta tehniskajām un profesionālajām spējām.</w:t>
      </w:r>
    </w:p>
    <w:p w:rsidR="008115E8" w:rsidRPr="00673E36" w:rsidRDefault="008115E8" w:rsidP="008115E8">
      <w:pPr>
        <w:rPr>
          <w:sz w:val="22"/>
          <w:szCs w:val="22"/>
        </w:rPr>
      </w:pPr>
    </w:p>
    <w:p w:rsidR="008115E8" w:rsidRDefault="008115E8" w:rsidP="008115E8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 w:rsidRPr="00673E36">
        <w:rPr>
          <w:sz w:val="24"/>
          <w:szCs w:val="24"/>
        </w:rPr>
        <w:t>Vai pretendents un atbildīgais būvdarbu vadītājs izturēs nolikuma 8.3.1. un 8.3.2. punktu prasības, ja pieredzi apliecinoša</w:t>
      </w:r>
      <w:r>
        <w:rPr>
          <w:sz w:val="24"/>
          <w:szCs w:val="24"/>
        </w:rPr>
        <w:t>is objekts būvēt iesākts 2013. g</w:t>
      </w:r>
      <w:r w:rsidRPr="00673E36">
        <w:rPr>
          <w:sz w:val="24"/>
          <w:szCs w:val="24"/>
        </w:rPr>
        <w:t xml:space="preserve">adā , bet darbi pabeigti un objekts nodots ekspluatācijā 2014. </w:t>
      </w:r>
      <w:r>
        <w:rPr>
          <w:sz w:val="24"/>
          <w:szCs w:val="24"/>
        </w:rPr>
        <w:t>g</w:t>
      </w:r>
      <w:r w:rsidRPr="00673E36">
        <w:rPr>
          <w:sz w:val="24"/>
          <w:szCs w:val="24"/>
        </w:rPr>
        <w:t>adā? Iepriekš minētais objekts atbilst visiem 8.3.1. un 8.3.2. punkta punktiem</w:t>
      </w:r>
      <w:r w:rsidRPr="00673E36">
        <w:rPr>
          <w:i/>
          <w:sz w:val="24"/>
          <w:szCs w:val="24"/>
        </w:rPr>
        <w:t>.</w:t>
      </w:r>
    </w:p>
    <w:p w:rsidR="008115E8" w:rsidRPr="00673E36" w:rsidRDefault="008115E8" w:rsidP="008115E8">
      <w:pPr>
        <w:pStyle w:val="Sarakstarindkopa"/>
        <w:rPr>
          <w:i/>
          <w:sz w:val="24"/>
          <w:szCs w:val="24"/>
        </w:rPr>
      </w:pPr>
    </w:p>
    <w:p w:rsidR="008115E8" w:rsidRPr="008115E8" w:rsidRDefault="008115E8" w:rsidP="008115E8">
      <w:pPr>
        <w:spacing w:after="120"/>
        <w:rPr>
          <w:sz w:val="24"/>
          <w:szCs w:val="24"/>
        </w:rPr>
      </w:pPr>
      <w:r w:rsidRPr="008115E8">
        <w:rPr>
          <w:b/>
          <w:sz w:val="24"/>
          <w:szCs w:val="24"/>
        </w:rPr>
        <w:t>Atbilde uz 5.jautājumu</w:t>
      </w:r>
    </w:p>
    <w:p w:rsidR="008115E8" w:rsidRPr="000053FB" w:rsidRDefault="008115E8" w:rsidP="008115E8">
      <w:pPr>
        <w:pStyle w:val="Nodaa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sz w:val="24"/>
        </w:rPr>
        <w:t>Nolikumā noteiktās prasības tiks izpildītas, ja Objekts</w:t>
      </w:r>
      <w:r w:rsidR="001B497B">
        <w:rPr>
          <w:rFonts w:ascii="Times New Roman" w:hAnsi="Times New Roman" w:cs="Times New Roman"/>
          <w:b w:val="0"/>
          <w:sz w:val="24"/>
        </w:rPr>
        <w:t xml:space="preserve"> ir pabeigts un nodots ekspluatācijā 2014. gadā, un</w:t>
      </w:r>
      <w:r>
        <w:rPr>
          <w:rFonts w:ascii="Times New Roman" w:hAnsi="Times New Roman" w:cs="Times New Roman"/>
          <w:b w:val="0"/>
          <w:sz w:val="24"/>
        </w:rPr>
        <w:t xml:space="preserve"> ir viens no izbūvētajiem objektiem, kas kopā sastāda Pretendenta noradīto darbu apjomu, izpildot Nolikuma 8.3.1. un 8.3.2. punktu prasības.</w:t>
      </w:r>
    </w:p>
    <w:p w:rsidR="008115E8" w:rsidRPr="00CD78DF" w:rsidRDefault="008115E8" w:rsidP="008115E8">
      <w:pPr>
        <w:jc w:val="both"/>
        <w:rPr>
          <w:i/>
          <w:sz w:val="24"/>
          <w:szCs w:val="24"/>
        </w:rPr>
      </w:pPr>
    </w:p>
    <w:p w:rsidR="00DD2D4C" w:rsidRPr="00DD2D4C" w:rsidRDefault="00DD2D4C" w:rsidP="000053FB">
      <w:pPr>
        <w:pStyle w:val="Sarakstarindkopa"/>
        <w:rPr>
          <w:i/>
          <w:sz w:val="22"/>
          <w:szCs w:val="22"/>
        </w:rPr>
      </w:pPr>
    </w:p>
    <w:p w:rsidR="008C7019" w:rsidRDefault="008C7019" w:rsidP="00640007">
      <w:pPr>
        <w:pStyle w:val="Sarakstarindkopa"/>
      </w:pPr>
    </w:p>
    <w:p w:rsidR="008C7019" w:rsidRDefault="008C7019" w:rsidP="00640007">
      <w:pPr>
        <w:pStyle w:val="Sarakstarindkopa"/>
      </w:pP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  <w:r w:rsidRPr="008C7019">
        <w:rPr>
          <w:sz w:val="22"/>
          <w:szCs w:val="22"/>
        </w:rPr>
        <w:t>SIA „Kandavas komunālie pakalpojumi”</w:t>
      </w: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  <w:r w:rsidRPr="008C7019">
        <w:rPr>
          <w:sz w:val="22"/>
          <w:szCs w:val="22"/>
        </w:rPr>
        <w:t xml:space="preserve">Iepirkumu komisijas priekšsēdētājs Guntis </w:t>
      </w:r>
      <w:proofErr w:type="spellStart"/>
      <w:r w:rsidRPr="008C7019">
        <w:rPr>
          <w:sz w:val="22"/>
          <w:szCs w:val="22"/>
        </w:rPr>
        <w:t>Brauns</w:t>
      </w:r>
      <w:proofErr w:type="spellEnd"/>
    </w:p>
    <w:p w:rsidR="0015575A" w:rsidRPr="008F07B2" w:rsidRDefault="0015575A" w:rsidP="0015575A"/>
    <w:sectPr w:rsidR="0015575A" w:rsidRPr="008F07B2" w:rsidSect="009C23D4">
      <w:head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CE" w:rsidRDefault="00982FCE" w:rsidP="00F7023F">
      <w:r>
        <w:separator/>
      </w:r>
    </w:p>
  </w:endnote>
  <w:endnote w:type="continuationSeparator" w:id="0">
    <w:p w:rsidR="00982FCE" w:rsidRDefault="00982FCE" w:rsidP="00F7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CE" w:rsidRDefault="00982FCE" w:rsidP="00F7023F">
      <w:r>
        <w:separator/>
      </w:r>
    </w:p>
  </w:footnote>
  <w:footnote w:type="continuationSeparator" w:id="0">
    <w:p w:rsidR="00982FCE" w:rsidRDefault="00982FCE" w:rsidP="00F7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D4" w:rsidRDefault="009C23D4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-327660</wp:posOffset>
          </wp:positionV>
          <wp:extent cx="2553335" cy="579755"/>
          <wp:effectExtent l="19050" t="0" r="0" b="0"/>
          <wp:wrapSquare wrapText="bothSides"/>
          <wp:docPr id="6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23F" w:rsidRDefault="00F7023F">
    <w:pPr>
      <w:pStyle w:val="Galvene"/>
    </w:pPr>
  </w:p>
  <w:p w:rsidR="00A1693F" w:rsidRDefault="009C23D4" w:rsidP="009C23D4">
    <w:pPr>
      <w:ind w:left="-567"/>
      <w:jc w:val="center"/>
      <w:rPr>
        <w:bCs/>
        <w:iCs/>
      </w:rPr>
    </w:pPr>
    <w:r w:rsidRPr="009C23D4">
      <w:rPr>
        <w:bCs/>
        <w:iCs/>
      </w:rPr>
      <w:t xml:space="preserve">Eiropas Savienības Kohēzijas fonda līdzfinansētā projekta </w:t>
    </w:r>
  </w:p>
  <w:p w:rsidR="009C23D4" w:rsidRPr="009C23D4" w:rsidRDefault="009C23D4" w:rsidP="009C23D4">
    <w:pPr>
      <w:ind w:left="-567"/>
      <w:jc w:val="center"/>
    </w:pPr>
    <w:r w:rsidRPr="009C23D4">
      <w:rPr>
        <w:bCs/>
        <w:iCs/>
      </w:rPr>
      <w:t xml:space="preserve">„Ūdenssaimniecības pakalpojumu attīstība Kandavā, II kārta” (Identifikācijas Nr. </w:t>
    </w:r>
    <w:r w:rsidRPr="009C23D4">
      <w:t>5.3.1.0/17/I/031)</w:t>
    </w:r>
  </w:p>
  <w:p w:rsidR="009C23D4" w:rsidRDefault="009C23D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7A034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6C50B9"/>
    <w:multiLevelType w:val="hybridMultilevel"/>
    <w:tmpl w:val="3698DBF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B3F"/>
    <w:multiLevelType w:val="multilevel"/>
    <w:tmpl w:val="8144B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50FB1"/>
    <w:multiLevelType w:val="hybridMultilevel"/>
    <w:tmpl w:val="237CC0D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15A0"/>
    <w:multiLevelType w:val="hybridMultilevel"/>
    <w:tmpl w:val="4CB4F8E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0852"/>
    <w:multiLevelType w:val="hybridMultilevel"/>
    <w:tmpl w:val="6FAA3248"/>
    <w:lvl w:ilvl="0" w:tplc="15EA1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409E"/>
    <w:rsid w:val="000053FB"/>
    <w:rsid w:val="00045CAC"/>
    <w:rsid w:val="0015575A"/>
    <w:rsid w:val="001747FE"/>
    <w:rsid w:val="001B497B"/>
    <w:rsid w:val="00355297"/>
    <w:rsid w:val="003872C1"/>
    <w:rsid w:val="00483CAF"/>
    <w:rsid w:val="004B6EAB"/>
    <w:rsid w:val="004C245F"/>
    <w:rsid w:val="00503678"/>
    <w:rsid w:val="0060400D"/>
    <w:rsid w:val="00640007"/>
    <w:rsid w:val="00753901"/>
    <w:rsid w:val="00766369"/>
    <w:rsid w:val="008115E8"/>
    <w:rsid w:val="008176D6"/>
    <w:rsid w:val="0087409E"/>
    <w:rsid w:val="008A1F22"/>
    <w:rsid w:val="008C306D"/>
    <w:rsid w:val="008C7019"/>
    <w:rsid w:val="008F07B2"/>
    <w:rsid w:val="00982FCE"/>
    <w:rsid w:val="009977A6"/>
    <w:rsid w:val="009C23D4"/>
    <w:rsid w:val="00A132D8"/>
    <w:rsid w:val="00A1693F"/>
    <w:rsid w:val="00A569E3"/>
    <w:rsid w:val="00A80051"/>
    <w:rsid w:val="00BB3BEE"/>
    <w:rsid w:val="00BC4B50"/>
    <w:rsid w:val="00BF15E5"/>
    <w:rsid w:val="00C0392B"/>
    <w:rsid w:val="00C363D3"/>
    <w:rsid w:val="00C36889"/>
    <w:rsid w:val="00C63302"/>
    <w:rsid w:val="00C91C68"/>
    <w:rsid w:val="00D671FB"/>
    <w:rsid w:val="00DB5618"/>
    <w:rsid w:val="00DD2D4C"/>
    <w:rsid w:val="00E40D9F"/>
    <w:rsid w:val="00E56E31"/>
    <w:rsid w:val="00F03BB3"/>
    <w:rsid w:val="00F7023F"/>
    <w:rsid w:val="00F87F40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7409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8F07B2"/>
    <w:pPr>
      <w:ind w:left="720"/>
      <w:contextualSpacing/>
    </w:pPr>
  </w:style>
  <w:style w:type="paragraph" w:customStyle="1" w:styleId="Punkts">
    <w:name w:val="Punkts"/>
    <w:basedOn w:val="Parastais"/>
    <w:next w:val="Apakpunkts"/>
    <w:rsid w:val="00A132D8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Parastais"/>
    <w:rsid w:val="00A132D8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Parastais"/>
    <w:next w:val="Parastais"/>
    <w:link w:val="ParagrfsRakstz"/>
    <w:rsid w:val="00A132D8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character" w:customStyle="1" w:styleId="ParagrfsRakstz">
    <w:name w:val="Paragrāfs Rakstz."/>
    <w:link w:val="Paragrfs"/>
    <w:rsid w:val="00A132D8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aizzme">
    <w:name w:val="List Bullet"/>
    <w:basedOn w:val="Parastais"/>
    <w:uiPriority w:val="99"/>
    <w:unhideWhenUsed/>
    <w:rsid w:val="00DD2D4C"/>
    <w:pPr>
      <w:numPr>
        <w:numId w:val="5"/>
      </w:numPr>
      <w:contextualSpacing/>
    </w:pPr>
  </w:style>
  <w:style w:type="paragraph" w:customStyle="1" w:styleId="Nodaa">
    <w:name w:val="Nodaļa"/>
    <w:basedOn w:val="Parastais"/>
    <w:rsid w:val="000053FB"/>
    <w:rPr>
      <w:rFonts w:ascii="Arial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2019-04-10T12:48:00Z</cp:lastPrinted>
  <dcterms:created xsi:type="dcterms:W3CDTF">2019-04-10T12:49:00Z</dcterms:created>
  <dcterms:modified xsi:type="dcterms:W3CDTF">2019-04-10T13:02:00Z</dcterms:modified>
</cp:coreProperties>
</file>